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WindSeeV 1 — Korrosionsschutz</w:t>
      </w:r>
    </w:p>
    <w:p>
      <w:r>
        <w:rPr>
          <w:color w:val="555555"/>
          <w:sz w:val="18"/>
        </w:rPr>
        <w:t xml:space="preserve">Erste Windenergie-auf-See-Verordnung</w:t>
      </w:r>
    </w:p>
    <w:p>
      <w:r>
        <w:rPr>
          <w:color w:val="555555"/>
          <w:sz w:val="18"/>
        </w:rPr>
        <w:t xml:space="preserve">Stand: 22.12.2020 (konsolidierte Textfassung, kein amtliches Inkrafttretensdatum)</w:t>
      </w:r>
    </w:p>
    <w:p>
      <w:r>
        <w:t xml:space="preserve">(1) Der vom Träger des Vorhabens eingesetzte Korrosionsschutz der Anlage muss möglichst schadstofffrei und emissionsarm sein.</w:t>
      </w:r>
    </w:p>
    <w:p>
      <w:r>
        <w:t xml:space="preserve">(2) An Gründungsstrukturen sind nach Möglichkeit Fremdstromsysteme als kathodischer Korrosionsschutz einzusetzen.</w:t>
      </w:r>
    </w:p>
    <w:p>
      <w:r>
        <w:t xml:space="preserve">(3) Sollte der Einsatz von galvanischen Anoden unvermeidbar sein, ist dieser nur in Kombination mit Beschichtungen an den Gründungsstrukturen zulässig. Der Gehalt an Nebenbestandteilen der Anodenlegierungen, insbesondere von Cadmium, Blei, Kupfer und Quecksilber, ist so weit wie möglich zu reduzieren. Der Einsatz von Zinkanoden ist untersagt.</w:t>
      </w:r>
    </w:p>
    <w:p>
      <w:r>
        <w:t xml:space="preserve">(4) Die Verwendung von Bioziden zum Schutz der technischen Oberflächen vor der unerwünschten Ansiedlung von Organismen ist untersagt.</w:t>
      </w:r>
    </w:p>
    <w:p>
      <w:r>
        <w:t xml:space="preserve">(5) Der Träger des Vorhabens hat die Anlage im Bereich der Spritzwasserzone mit einem ölabweisenden Anstrich zu versehen.</w:t>
      </w:r>
    </w:p>
    <w:p>
      <w:r>
        <w:rPr>
          <w:color w:val="555555"/>
          <w:sz w:val="17"/>
        </w:rPr>
        <w:t xml:space="preserve">Zitiervorschlag: § 9 WindSeeV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