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WindSeeV 1 — Vermeidung von Schallemissionen bei der Gründung, der Installation und dem Betrieb von Anlagen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Bei der Gründung und Installation einer Anlage hat der Träger des Vorhabens diejenige Arbeitsmethode nach dem Stand der Technik anzuwenden, die nach den vorgefundenen Umständen so geräuscharm wie möglich ist.</w:t>
      </w:r>
    </w:p>
    <w:p>
      <w:r>
        <w:t xml:space="preserve">(2) Die durch Rammarbeiten verursachten Schallemissionen dürfen für den Schalldruck den Wert von 160 Dezibel und für den Spitzenschalldruckpegel den Wert von 190 Dezibel, jeweils referenziert auf Mikropascal pro Sekunde, in einer Entfernung von 750 Metern nicht überschreiten.</w:t>
      </w:r>
    </w:p>
    <w:p>
      <w:r>
        <w:t xml:space="preserve">(3) Bei Rammarbeiten ist die Dauer des Rammvorgangs einschließlich der Vergrämung auf ein Mindestmaß zu begrenzen.</w:t>
      </w:r>
    </w:p>
    <w:p>
      <w:r>
        <w:t xml:space="preserve">(4) Der Träger des Vorhabens hat diejenige Anlagenkonstruktion zu wählen, die nach dem Stand der Technik so betriebsschallarm wie möglich ist.</w:t>
      </w:r>
    </w:p>
    <w:p>
      <w:r>
        <w:t xml:space="preserve">(5) Jede Sprengung ist zu unterlassen.</w:t>
      </w:r>
    </w:p>
    <w:p>
      <w:r>
        <w:rPr>
          <w:color w:val="555555"/>
          <w:sz w:val="17"/>
        </w:rPr>
        <w:t xml:space="preserve">Zitiervorschlag: § 7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