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WindSeeV 1 — Besondere Bestimmungen zur Sicherheit und Leichtigkeit des Schiffsverkehrs</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Der Träger des Vorhabens hat der Planfeststellungsbehörde als Grundlage für die Zulassungsentscheidung mit den Planunterlagen ein Gutachten einzureichen, welches die der Eignungsfeststellung nach dieser Verordnung zu Grunde liegende flächenbezogene quantitative Risikoanalyse auf Grundlage aktueller Zahlen zum Aufkommen des Schiffsverkehrs überprüft. Die Planfeststellungsbehörde kann etwaige danach zusätzlich erforderliche Minderungsmaßnahmen, wie die Vorhaltung zusätzlicher Schleppkapazität durch den Träger des Vorhabens anordnen. Anderweitige Verpflichtungen zur Aktualisierung von gutachterlichen Aussagen nach § 48 Absatz 4 Satz 3 des Windenergie-auf-See-Gesetzes oder nach § 57 Absatz 2 bis 5 des Windenergie-auf-See-Gesetzes bleiben unberührt.</w:t>
      </w:r>
    </w:p>
    <w:p>
      <w:r>
        <w:t xml:space="preserve">(2) Die Sicherheitszone der Fläche ist entsprechend Nummer 6.2.3 der „Richtlinie Offshore-Anlagen zur Gewährleistung der Sicherheit und Leichtigkeit des Schiffsverkehrs“ Version 3.0 vom 1. Juli 2019 durch Auslegung befeuerter Kardinaltonnen als allgemeine Gefahrenstelle zu kennzeichnen.</w:t>
      </w:r>
    </w:p>
    <w:p>
      <w:r>
        <w:rPr>
          <w:color w:val="555555"/>
          <w:sz w:val="17"/>
        </w:rPr>
        <w:t xml:space="preserve">Zitiervorschlag: § 44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