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WindSeeV 1 — Besondere Bestimmungen zum Schutz der Avifauna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Der Träger des Vorhabens hat für diejenigen europäischen Vogelarten, die über die Fläche ziehen und für die die Gefahr eines signifikant erhöhten Kollisionsrisikos mit Windenergieanlagen besteht, während des Herbst- und Frühjahrszugs im Rahmen eines Risikomanagements ab der Inbetriebnahme von Windenergieanlagen mindestens die folgenden Daten durchgehend in geeigneter Weise zu erfassen:</w:t>
      </w:r>
    </w:p>
    <w:p>
      <w:pPr>
        <w:ind w:left="420"/>
      </w:pPr>
      <w:r>
        <w:t xml:space="preserve">1. Zugraten und Zugintensitäten,</w:t>
      </w:r>
    </w:p>
    <w:p>
      <w:pPr>
        <w:ind w:left="420"/>
      </w:pPr>
      <w:r>
        <w:t xml:space="preserve">2. die Vertikalverteilung des Zugs sowie</w:t>
      </w:r>
    </w:p>
    <w:p>
      <w:pPr>
        <w:ind w:left="420"/>
      </w:pPr>
      <w:r>
        <w:t xml:space="preserve">3. die Wetterbedingungen und Sichtweiten.</w:t>
      </w:r>
    </w:p>
    <w:p>
      <w:r>
        <w:t xml:space="preserve">(2) In Bezug auf den Kranich ist während Ereignissen mit sehr hohen Zugintensitäten über der Fläche O-1.3 von einem signifikant erhöhten Kollisionsrisiko durch die Windenergieanlagen auszugehen. Die Datenerfassung nach Absatz 1 ist mit Beobachtungen der Rastplätze in Südschweden für den Herbstzug sowie in der Rügen-Bock-Region und auf dem Darß für den Frühjahrszug zu verbinden, um so Informationen über den Zugbeginn zu erhalten.</w:t>
      </w:r>
    </w:p>
    <w:p>
      <w:r>
        <w:t xml:space="preserve">(3) Insbesondere für Greifvögel, Gänse, Watvögel sowie Singvögel ist während Ereignissen mit sehr hohen Zugintensitäten über der Fläche O-1.3 unter den folgenden Gegebenheiten von einem signifikant erhöhten Kollisionsrisiko durch die Windenergieanlagen auszugehen:</w:t>
      </w:r>
    </w:p>
    <w:p>
      <w:pPr>
        <w:ind w:left="420"/>
      </w:pPr>
      <w:r>
        <w:t xml:space="preserve">1. in der Nacht oder</w:t>
      </w:r>
    </w:p>
    <w:p>
      <w:pPr>
        <w:ind w:left="420"/>
      </w:pPr>
      <w:r>
        <w:t xml:space="preserve">2. am Tag bei Sichtweiten unter 500 Metern.</w:t>
      </w:r>
    </w:p>
    <w:p>
      <w:r>
        <w:t xml:space="preserve">Die Windenergieanlagen sind mit geeigneten Geräten auszustatten, die eine Erfassung der Zugintensitäten in Echtzeit auch unter den genannten Gegebenheiten ermöglichen.</w:t>
      </w:r>
    </w:p>
    <w:p>
      <w:r>
        <w:t xml:space="preserve">(4) Solange aufgrund der Datenerfassung nach Absatz 1 erkennbar ist, dass das Kollisionsrisiko für die in Absatz 2 und 3 bezeichneten Vogelarten signifikant erhöht ist, sind die Windenergieanlagen abzuschalten und aus dem Wind zu drehen. Soweit andere gleich geeignete Minderungsmaßnahmen umgesetzt werden, kann von einer Abschaltung abgesehen werden.</w:t>
      </w:r>
    </w:p>
    <w:p>
      <w:r>
        <w:t xml:space="preserve">(5) Der Träger des Vorhabens hat mit dem Antrag auf Planfeststellung ein konkretes Konzept zur Datenerfassung nach Absatz 1 sowie zur Umsetzung und Erfolgskontrolle der Abschaltung oder sonstiger geeigneter Maßnahmen nach Absatz 4 bei der Planfeststellungsbehörde vorzulegen.</w:t>
      </w:r>
    </w:p>
    <w:p>
      <w:r>
        <w:rPr>
          <w:color w:val="555555"/>
          <w:sz w:val="17"/>
        </w:rPr>
        <w:t xml:space="preserve">Zitiervorschlag: § 43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