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WindSeeV 1 — Besondere Bestimmungen zum Schutz mariner Säugetiere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Träger des Vorhabens hat die Durchführung von Rammarbeiten mit den Trägern der Vorhaben parallel fertigzustellender Offshore-Windparks in der ausschließlichen Wirtschaftszone der Ostsee vorab zeitlich abzustimmen.</w:t>
      </w:r>
    </w:p>
    <w:p>
      <w:r>
        <w:t xml:space="preserve">(2) Die Planfeststellungsbehörde kann dem Träger des Vorhabens zeitliche Vorgaben zur Durchführung von Rammarbeiten machen, soweit dies trotz erfolgter Abstimmung im Vorfeld notwendig ist.</w:t>
      </w:r>
    </w:p>
    <w:p>
      <w:r>
        <w:rPr>
          <w:color w:val="555555"/>
          <w:sz w:val="17"/>
        </w:rPr>
        <w:t xml:space="preserve">Zitiervorschlag: § 42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