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WindSeeV 1 — Monitoring</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(1) Der Träger des Vorhabens hat während der Bauphase und mindestens während der drei ersten Jahre des Betriebes der Anlagen ein Monitoring zu den bau- und betriebsbedingten Auswirkungen der Anlagen als Grundlage für durch die Planfeststellungsbehörde oder das Bundesamt für Seeschifffahrt und Hydrographie als zuständige Überwachungsbehörde gegebenenfalls anzuordnende Maßnahmen zum Schutz der Meeresumwelt nach § 48 Absatz 4 Satz 3 des Windenergie-auf-See-Gesetzes oder nach § 57 Absatz 2, 3 oder 5 des Windenergie-auf-See-Gesetzes durchzuführen.</w:t>
      </w:r>
    </w:p>
    <w:p>
      <w:r>
        <w:t xml:space="preserve">(2) Als Grundlage für das Monitoring ist das Ergebnis der Basisaufnahme auf der Grundlage der Ergebnisse eines vor Baubeginn durchzuführenden dritten Untersuchungsjahres zu aktualisieren, wenn zwischen dem Ende der Basisaufnahme und dem Baubeginn nicht mehr als fünf Jahre liegen. Liegen zwischen dem Ende der Basisaufnahme und dem Baubeginn mehr als fünf Jahre, so ist die Basisaufnahme vor Baubeginn vollständig zu wiederholen.</w:t>
      </w:r>
    </w:p>
    <w:p>
      <w:r>
        <w:t xml:space="preserve">(3) Die Untersuchungen der Meeresumwelt sind nach dem Stand der Wissenschaft und Technik durchzuführen. Die Einhaltung des Stands der Wissenschaft und Technik wird vermutet, wenn die Untersuchungen unter Beachtung des „Standards – Untersuchung der Auswirkungen von Offshore-Windenergieanlagen auf die Meeresumwelt“ durchgeführt werden.</w:t>
      </w:r>
    </w:p>
    <w:p>
      <w:r>
        <w:rPr>
          <w:color w:val="555555"/>
          <w:sz w:val="17"/>
        </w:rPr>
        <w:t xml:space="preserve">Zitiervorschlag: § 4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