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WindSeeV 1 — Besondere Bestimmungen zur Sicherheit und Leichtigkeit des Schiffsverkehrs</w:t>
      </w:r>
    </w:p>
    <w:p>
      <w:r>
        <w:rPr>
          <w:color w:val="555555"/>
          <w:sz w:val="18"/>
        </w:rPr>
        <w:t xml:space="preserve">Erste Windenergie-auf-See-Verordnung</w:t>
      </w:r>
    </w:p>
    <w:p>
      <w:r>
        <w:rPr>
          <w:color w:val="555555"/>
          <w:sz w:val="18"/>
        </w:rPr>
        <w:t xml:space="preserve">Stand: 22.12.2020 (konsolidierte Textfassung, kein amtliches Inkrafttretensdatum)</w:t>
      </w:r>
    </w:p>
    <w:p>
      <w:r>
        <w:t xml:space="preserve">Der Träger des Vorhabens hat der Planfeststellungsbehörde als Grundlage für die Zulassungsentscheidung mit den Planunterlagen ein Gutachten einzureichen, welches die der Eignungsfeststellung nach dieser Verordnung zugrunde liegende flächenbezogene quantitative Risikoanalyse auf der Grundlage aktueller Zahlen zum Aufkommen des Schiffsverkehrs überprüft. Die Planfeststellungsbehörde kann etwaige danach zusätzlich erforderliche Minderungsmaßnahmen, wie die Vorhaltung zusätzlicher Schleppkapazität durch den Träger des Vorhabens, anordnen. Anderweitige Verpflichtungen zur Aktualisierung von gutachterlichen Aussagen nach § 48 Absatz 4 Satz 3 des Windenergie-auf-See-Gesetzes oder nach § 57 Absatz 2 bis 5 des Windenergie-auf-See-Gesetzes bleiben unberührt.</w:t>
      </w:r>
    </w:p>
    <w:p>
      <w:r>
        <w:rPr>
          <w:color w:val="555555"/>
          <w:sz w:val="17"/>
        </w:rPr>
        <w:t xml:space="preserve">Zitiervorschlag: § 37 WindSeeV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https://recht.nulegal.eu/gesetze/WindSeeV%201/37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