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WindSeeV 1 — Ermittlung, Dokumentation und Meldung von Objekten und errichteten Anlagen</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Der Träger des Vorhabens hat vor Beginn der Planung und Realisierung der Anlagen vorhandene Kabel, Leitungen, Wracks, Fundmunition, Kultur- und Sachgüter sowie sonstige Objekte auf der Fläche zu ermitteln und alle daraus gegebenenfalls resultierenden Schutzmaßnahmen zu ergreifen. Das Auffinden von Objekten ist unverzüglich zu dokumentieren und der Planfeststellungsbehörde zu melden. Sollte bei der Planung oder Errichtung der Anlagen Fundmunition aufgefunden werden, hat der Träger des Vorhabens entsprechende Schutzmaßnahmen zu ergreifen. Munitionsfunde und der weitere Umgang damit sind dem Maritimen Sicherheitszentrum Cuxhaven zu melden. Bei der Standort- oder Trassenwahl sind etwaige Fundstellen von Objekten zu berücksichtigen.</w:t>
      </w:r>
    </w:p>
    <w:p>
      <w:r>
        <w:t xml:space="preserve">(2) Der Träger des Vorhabens hat die genauen Positionen aller tatsächlich gebauten Anlagen innerhalb von sechs Monaten nach Abschluss der Errichtung einzumessen und an das Bundesamt für Seeschifffahrt und Hydrographie zu übermitteln.</w:t>
      </w:r>
    </w:p>
    <w:p>
      <w:r>
        <w:rPr>
          <w:color w:val="555555"/>
          <w:sz w:val="17"/>
        </w:rPr>
        <w:t xml:space="preserve">Zitiervorschlag: § 35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