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WindSeeV 1 — Vereinbarkeit mit bestehenden und geplanten Seekabeln sowie Rohrleitungen und Einrichtungen</w:t>
      </w:r>
    </w:p>
    <w:p>
      <w:r>
        <w:rPr>
          <w:color w:val="555555"/>
          <w:sz w:val="18"/>
        </w:rPr>
        <w:t xml:space="preserve">Erste Windenergie-auf-See-Verordnung</w:t>
      </w:r>
    </w:p>
    <w:p>
      <w:r>
        <w:rPr>
          <w:color w:val="555555"/>
          <w:sz w:val="18"/>
        </w:rPr>
        <w:t xml:space="preserve">Stand: 22.12.2020 (konsolidierte Textfassung, kein amtliches Inkrafttretensdatum)</w:t>
      </w:r>
    </w:p>
    <w:p>
      <w:r>
        <w:t xml:space="preserve">(1) Bei der Planung und Durchführung von Arbeiten im Umfeld von bestehenden und geplanten Seekabeln oder Rohrleitungen sowie sonstiger Einrichtungen Dritter hat der Träger des Vorhabens die Sicherheit dieser Seekabel, Rohrleitungen und Einrichtungen zu berücksichtigen. Kreuzungen der parkinternen Seekabel mit Seekabeln oder Rohrleitungen Dritter sind, wenn möglich, zu vermeiden.</w:t>
      </w:r>
    </w:p>
    <w:p>
      <w:r>
        <w:t xml:space="preserve">(2) In einem Schutzbereich von 500 Metern beidseits von Seekabeln oder Rohrleitungen Dritter dürfen grundsätzlich keinerlei Einwirkungen auf den Meeresboden vorgenommen werden. Von Satz 1 Abweichendes ist mit dem Eigentümer des Seekabels oder der Rohrleitung zu vereinbaren.</w:t>
      </w:r>
    </w:p>
    <w:p>
      <w:r>
        <w:rPr>
          <w:color w:val="555555"/>
          <w:sz w:val="17"/>
        </w:rPr>
        <w:t xml:space="preserve">Zitiervorschlag: § 31 WindSeeV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