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WindSeeV 1 — Eingriff in den Baugrund</w:t>
      </w:r>
    </w:p>
    <w:p>
      <w:r>
        <w:rPr>
          <w:color w:val="555555"/>
          <w:sz w:val="18"/>
        </w:rPr>
        <w:t xml:space="preserve">Erste Windenergie-auf-See-Verordnung</w:t>
      </w:r>
    </w:p>
    <w:p>
      <w:r>
        <w:rPr>
          <w:color w:val="555555"/>
          <w:sz w:val="18"/>
        </w:rPr>
        <w:t xml:space="preserve">Stand: 22.12.2020 (konsolidierte Textfassung, kein amtliches Inkrafttretensdatum)</w:t>
      </w:r>
    </w:p>
    <w:p>
      <w:r>
        <w:t xml:space="preserve">Vor der Ausführung von Arbeiten, die einen Eingriff in den Baugrund erfordern, hat der Träger des Vorhabens sicherzustellen, dass mögliche Gefährdungen von Beschäftigten durch Fundmunition ermittelt werden und gegebenenfalls notwendige Maßnahmen des Arbeitsschutzes ergriffen werden. Satz 1 ist auch anzuwenden, wenn während der Planung oder der Errichtung der Windenergieanlagen, der Offshore-Plattformen oder der parkinternen Verkabelung bislang nicht bekannte Fundmunition aufgefunden wird.</w:t>
      </w:r>
    </w:p>
    <w:p>
      <w:r>
        <w:rPr>
          <w:color w:val="555555"/>
          <w:sz w:val="17"/>
        </w:rPr>
        <w:t xml:space="preserve">Zitiervorschlag: § 28 WindSeeV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https://recht.nulegal.eu/gesetze/WindSeeV%201/28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