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WindSeeV 1 — Brand- und Explosionsschutz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Die Umsetzung der Vorgaben für und die Anforderungen an den baulichen, anlagentechnischen und organisatorischen Brand- und Explosionsschutz und das Entfluchtungskonzept sind so aufeinander abzustimmen, dass eine rechtzeitige Entfluchtung möglich ist.</w:t>
      </w:r>
    </w:p>
    <w:p>
      <w:r>
        <w:t xml:space="preserve">(2) Der Träger des Vorhabens hat nachzuweisen, dass er bei der Konzeption der Umsetzung der Anforderungen nach Absatz 1 fachkundig beraten wurde. Die Anforderungen des § 3 Absatz 3 der Arbeitsstättenverordnung vom 12. August 2004 (BGBl. I S. 2179), die zuletzt durch Artikel 226 der Verordnung vom 19. Juni 2020 (BGBl. I S. 1328) geändert worden ist, gelten entsprechend.</w:t>
      </w:r>
    </w:p>
    <w:p>
      <w:r>
        <w:t xml:space="preserve">(3) Für eine Offshore-Plattform sind mindestens zwei für den Zweck der Flucht und Rettung geeignete Zu- und Abgangsmöglichkeiten vorzusehen, die unterschiedliche Verkehrssysteme nutzen sollen.</w:t>
      </w:r>
    </w:p>
    <w:p>
      <w:r>
        <w:rPr>
          <w:color w:val="555555"/>
          <w:sz w:val="17"/>
        </w:rPr>
        <w:t xml:space="preserve">Zitiervorschlag: § 27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