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WindSeeV 1 — Vorgaben zur Gewährleistung der Sicherheit der Landes- und Bündnisverteidigung</w:t>
      </w:r>
    </w:p>
    <w:p>
      <w:r>
        <w:rPr>
          <w:color w:val="555555"/>
          <w:sz w:val="18"/>
        </w:rPr>
        <w:t xml:space="preserve">Erste Windenergie-auf-See-Verordnung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Die errichteten Anlagen sind an geeigneten Eckpositionen mit Sonartranspondern zu kennzeichnen. § 15 Absatz 2 gilt entsprechend.</w:t>
      </w:r>
    </w:p>
    <w:p>
      <w:r>
        <w:t xml:space="preserve">(2) Der Einsatz von akustischen, optischen, optronischen, magnetsensorischen, elektrischen, elektronischen, elektromagnetischen oder seismischen Sensoren in Messgeräten an unbemannten Unterwasserfahrzeugen oder an stationären Unterwasser-Messeinrichtungen ist auf das erforderliche Maß zu beschränken und rechtzeitig, mindestens jedoch 20 Werktage im Voraus, dem Marinekommando anzuzeigen.</w:t>
      </w:r>
    </w:p>
    <w:p>
      <w:r>
        <w:rPr>
          <w:color w:val="555555"/>
          <w:sz w:val="17"/>
        </w:rPr>
        <w:t xml:space="preserve">Zitiervorschlag: § 25 WindSeeV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https://recht.nulegal.eu/gesetze/WindSeeV%201/25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