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WindSeeV 1 — Kennzeichnung von Luftfahrthindernissen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Der Träger des Vorhabens hat die Anlagen als Luftfahrthindernisse sowie sonstige Hindernisse in der Umgebung des Hubschrauberlandedecks entsprechend den Vorgaben des „Standards Offshore-Luftfahrt, Teil 5: Kennzeichnung von Luftfahrthindernissen in der AWZ“ vom 17. August 2020[11] zu kennzeichnen.</w:t>
      </w:r>
    </w:p>
    <w:p>
      <w:r>
        <w:t xml:space="preserve">11 Amtlicher Hinweis: Herausgegeben von und zu beziehen beim Bundesamt für Seeschifffahrt und Hydrographie, Bernhard-Nocht-Straße 78, 20359 Hamburg und in der Deutschen Nationalbibliothek archivmäßig gesichert niedergelegt.</w:t>
      </w:r>
    </w:p>
    <w:p>
      <w:r>
        <w:rPr>
          <w:color w:val="555555"/>
          <w:sz w:val="17"/>
        </w:rPr>
        <w:t xml:space="preserve">Zitiervorschlag: § 24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