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WindSeeV 1 — Turmanstrahlung</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Wenn das Hubschrauberlandedeck nachts betrieben werden soll, hat der Träger des Vorhabens die eigenen Windenergieanlagen entlang der Flugkorridore mit einer Turmanstrahlung gemäß den „WSV-Rahmenvorgaben Kennzeichnung Offshore-Anlagen“[10] zu versehen. Es sind Vorkehrungen zu treffen, die die Aktivierung und Deaktivierung der Turmanstrahlung zusammen mit der übrigen aeronautischen Befeuerung des Hubschrauberlandedecks sicherstellen.</w:t>
      </w:r>
    </w:p>
    <w:p>
      <w:r>
        <w:t xml:space="preserve">(2) Soweit Flugkorridore Dritter in der Fläche liegen oder unmittelbar an diese angrenzen, hat der Träger des Vorhabens die Installation von Turmanstrahlungen an den betroffenen Windenergieanlagen zu dulden und den Fernzugriff zum Zweck der Steuerung der Turmanstrahlung zu ermöglichen. Dem Dritten ist als Betreiber der Turmanstrahlung zum Zweck des geregelten Betriebs, der Wartung während der üblichen Betriebs- und Geschäftszeiten und zur Störungsbehebung Zugang zu den betreffenden Windenergieanlagen zu gewähren, soweit keine anderweitigen Vereinbarungen über Wartung und Betrieb einschließlich der Störungsbehebung getroffen wurden. Die Kosten, die für die Installation, den Betrieb und der Störungsbehebung sowie die Wartung der Turmanstrahlung anfallen, sind ausschließlich vom Dritten als Betreiber dieser Systeme zu tragen. Die Vorgabe zur Hindernisfreiheit von Flugkorridoren sind für Flugkorridore benachbarter Vorhaben auf der Fläche entsprechend anzuwenden.</w:t>
      </w:r>
    </w:p>
    <w:p>
      <w:r>
        <w:t xml:space="preserve">10 Amtlicher Hinweis: Herausgegeben von und zu beziehen bei der Generaldirektion Wasserstraßen und Schifffahrt, Am Propsthof 51, 53121 Bonn.</w:t>
      </w:r>
    </w:p>
    <w:p>
      <w:r>
        <w:rPr>
          <w:color w:val="555555"/>
          <w:sz w:val="17"/>
        </w:rPr>
        <w:t xml:space="preserve">Zitiervorschlag: § 23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