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WindSeeV 1 — Hubschrauberlandedeck</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Wenn ein Hubschrauberlandedeck auf einer Offshore-Plattform des Offshore-Windparks eingerichtet wird, sind für dessen Einrichtung und Betrieb die Regelungen des Anhangs 14 Band II zum Abkommen über die Internationale Zivilluftfahrt vom 7. Dezember 1944 (BGBl. 1956 II S. 412), das zuletzt durch das Protokoll vom 6. Oktober 2016 (BGBl. 2018 II S. 306, 307) geändert worden ist, oder die Bestimmungen der Folgeregelungen für die deutsche ausschließliche Wirtschaftszone einzuhalten.</w:t>
      </w:r>
    </w:p>
    <w:p>
      <w:r>
        <w:t xml:space="preserve">(2) Durch bauliche und betriebliche Maßnahmen hat der Träger des Vorhabens den sicheren Betrieb des Hubschrauberlandedecks zu gewährleisten.</w:t>
      </w:r>
    </w:p>
    <w:p>
      <w:r>
        <w:rPr>
          <w:color w:val="555555"/>
          <w:sz w:val="17"/>
        </w:rPr>
        <w:t xml:space="preserve">Zitiervorschlag: § 21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