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WindSeeV 1 — Begriffsbestimmungen</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Im Sinne dieser Verordnung ist oder sind</w:t>
      </w:r>
    </w:p>
    <w:p>
      <w:pPr>
        <w:ind w:left="420"/>
      </w:pPr>
      <w:r>
        <w:t xml:space="preserve">1. „Abfälle“ Abfälle im Sinne des § 3 Absatz 1 des Kreislaufwirtschaftsgesetzes vom 24. Februar 2012 (BGBl. I S. 212), das zuletzt durch Artikel 1 des Gesetzes vom 23. Oktober 2020 (BGBl. I S. 2232) geändert worden ist,</w:t>
      </w:r>
    </w:p>
    <w:p>
      <w:pPr>
        <w:ind w:left="420"/>
      </w:pPr>
      <w:r>
        <w:t xml:space="preserve">2. „Anlage“ eine Einrichtung im Sinne des § 44 Absatz 1 des Windenergie-auf-See-Gesetzes mit Ausnahme von Konverterplattformen und Offshore-Anbindungsleitungen,</w:t>
      </w:r>
    </w:p>
    <w:p>
      <w:pPr>
        <w:ind w:left="420"/>
      </w:pPr>
      <w:r>
        <w:t xml:space="preserve">3. „Basisaufnahme“ die der Umweltverträglichkeitsstudie für das Planfeststellungsverfahren zur Errichtung und zum Betrieb eines Offshore-Windparks zugrunde liegenden Untersuchungen gemäß Kapitel 10.1 des „Standards Untersuchungen der Auswirkungen von Offshore-Windenergieanlagen auf die Meeresumwelt“[2],</w:t>
      </w:r>
    </w:p>
    <w:p>
      <w:pPr>
        <w:ind w:left="420"/>
      </w:pPr>
      <w:r>
        <w:t xml:space="preserve">4. „Emissionen“ unmittelbar oder mittelbar der Meeresumwelt zugeführte Stoffe oder Energie, etwa Wärme, Schall, Erschütterung, Licht, elektrische oder elektromagnetische Strahlung,</w:t>
      </w:r>
    </w:p>
    <w:p>
      <w:pPr>
        <w:ind w:left="420"/>
      </w:pPr>
      <w:r>
        <w:t xml:space="preserve">5. „FATO“ die festgelegte Endanflug- und Startfläche, über der das Endanflugverfahren zum Schweben oder Landen eines Luftfahrtzeugs beendet wird und von der das Startverfahren eines Luftfahrtzeugs begonnen wird,</w:t>
      </w:r>
    </w:p>
    <w:p>
      <w:pPr>
        <w:ind w:left="420"/>
      </w:pPr>
      <w:r>
        <w:t xml:space="preserve">6. „Flugkorridor“ der Bereich des Luftraums, der für den Anflug auf und den Abflug von Offshore-Plattformen durch Hubschrauber genutzt wird,</w:t>
      </w:r>
    </w:p>
    <w:p>
      <w:pPr>
        <w:ind w:left="420"/>
      </w:pPr>
      <w:r>
        <w:t xml:space="preserve">7. „Fundmunition“ Fundmunition im Sinne des § 3 Absatz 1 Nummer 16 des Sprengstoffgesetzes in der Fassung der Bekanntmachung vom 10. September 2002 (BGBl. I S. 3518), das zuletzt durch Artikel 232 der Verordnung vom 19. Juni 2020 (BGBl. I S. 1328) geändert worden ist,</w:t>
      </w:r>
    </w:p>
    <w:p>
      <w:pPr>
        <w:ind w:left="420"/>
      </w:pPr>
      <w:r>
        <w:t xml:space="preserve">8. „MARPOL“ das internationale Übereinkommen zur Verhütung der Meeresverschmutzung durch Schiffe mit seinen sechs Anlagen (BGBl. II 1977, S. 1492),</w:t>
      </w:r>
    </w:p>
    <w:p>
      <w:pPr>
        <w:ind w:left="420"/>
      </w:pPr>
      <w:r>
        <w:t xml:space="preserve">9. „Offshore-Plattform“ eine Anlage im Sinne der Nummer 2, die eine künstliche Standfläche im Meer mit allen erforderlichen Infrastrukturkomponenten und Sicherheitsausrüstungen unabhängig von ihrer Konstruktionsform und der Art ihrer Nutzung, aber keine Windenergieanlage ist,</w:t>
      </w:r>
    </w:p>
    <w:p>
      <w:pPr>
        <w:ind w:left="420"/>
      </w:pPr>
      <w:r>
        <w:t xml:space="preserve">10. „TLOF“ die festgelegte Aufsetz- und Abhebefläche auf der ein Hubschrauber aufsetzen oder von der ein Hubschrauber abheben kann; dabei sind auf einem Hubschrauberlandedeck FATO und TLOF deckungsgleich,</w:t>
      </w:r>
    </w:p>
    <w:p>
      <w:pPr>
        <w:ind w:left="420"/>
      </w:pPr>
      <w:r>
        <w:t xml:space="preserve">11. „Träger des Vorhabens“ unbeschadet der Regelung des § 56 des Windenergie-auf-See-Gesetzes</w:t>
      </w:r>
    </w:p>
    <w:p>
      <w:pPr>
        <w:ind w:left="780"/>
      </w:pPr>
      <w:r>
        <w:t xml:space="preserve">a) die natürliche oder juristische Person, die in der Ausschreibung der Bundesnetzagentur nach § 23 des Windenergie-auf-See-Gesetzes den Zuschlag und damit nach § 24 des Windenergie-auf-See-Gesetzes das Recht erhält, ein Planfeststellungsverfahren auf der jeweiligen Fläche zu führen,</w:t>
      </w:r>
    </w:p>
    <w:p>
      <w:pPr>
        <w:ind w:left="780"/>
      </w:pPr>
      <w:r>
        <w:t xml:space="preserve">b) der Adressat des Planfeststellungsbeschlusses oder der Plangenehmigung im Sinne des § 56 Absatz 1 Nummer 1 des Windenergie-auf-See-Gesetzes oder</w:t>
      </w:r>
    </w:p>
    <w:p>
      <w:pPr>
        <w:ind w:left="780"/>
      </w:pPr>
      <w:r>
        <w:t xml:space="preserve">c) der Rechtsnachfolger der natürlichen oder juristischen Person nach Buchstabe a oder b.</w:t>
      </w:r>
    </w:p>
    <w:p>
      <w:r>
        <w:t xml:space="preserve">2 Amtlicher Hinweis: Herausgegeben von und zu beziehen beim Bundesamt für Seeschifffahrt und Hydrographie, Bernhard-Nocht-Straße 78, 20359 Hamburg und in der Deutschen Nationalbibliothek archivmäßig gesichert niedergelegt.</w:t>
      </w:r>
    </w:p>
    <w:p>
      <w:r>
        <w:rPr>
          <w:color w:val="555555"/>
          <w:sz w:val="17"/>
        </w:rPr>
        <w:t xml:space="preserve">Zitiervorschlag: § 2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