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WindSeeV 1 — Kolk- und Kabelschutz</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Bei Kolk- und Kabelschutzmaßnahmen hat der Träger des Vorhabens das Einbringen von Hartsubstrat auf das zur Herstellung des Schutzes der jeweiligen Anlage erforderliche Mindestmaß zu begrenzen.</w:t>
      </w:r>
    </w:p>
    <w:p>
      <w:r>
        <w:t xml:space="preserve">(2) Als Kolkschutz sind ausschließlich Schüttungen aus Natursteinen oder inerten und natürlichen Materialien einzusetzen. Der Einsatz von Kunststoff oder kunststoffähnlichen Materialien ist nicht zulässig.</w:t>
      </w:r>
    </w:p>
    <w:p>
      <w:r>
        <w:t xml:space="preserve">(3) Als Kabelschutz sind grundsätzlich Schüttungen aus Natursteinen oder inerten und natürlichen Materialien einzusetzen. Der Einsatz von Kabelschutzsystemen, die Kunststoff enthalten, ist nur im Ausnahmefall zulässig und auf ein Mindestmaß zu begrenzen.</w:t>
      </w:r>
    </w:p>
    <w:p>
      <w:r>
        <w:rPr>
          <w:color w:val="555555"/>
          <w:sz w:val="17"/>
        </w:rPr>
        <w:t xml:space="preserve">Zitiervorschlag: § 14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