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WindSeeV 1 — Dieselgeneratoren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Auf Offshore-Plattformen eingesetzte Dieselgeneratoren müssen bezüglich der Emissionswerte nach MARPOL Anhang VI Tier III oder nach nachweislich mindestens gleichwertigen Emissionsstandards zertifiziert sein.</w:t>
      </w:r>
    </w:p>
    <w:p>
      <w:r>
        <w:t xml:space="preserve">(2) Auf Windenergieanlagen sind fest installierte Dieselgeneratoren nicht zulässig.</w:t>
      </w:r>
    </w:p>
    <w:p>
      <w:r>
        <w:t xml:space="preserve">(3) Für den Betrieb von Dieselgeneratoren ist möglichst schwefelarmer Kraftstoff einzusetzen.</w:t>
      </w:r>
    </w:p>
    <w:p>
      <w:r>
        <w:rPr>
          <w:color w:val="555555"/>
          <w:sz w:val="17"/>
        </w:rPr>
        <w:t xml:space="preserve">Zitiervorschlag: § 13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