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WindSeeV 1 — Anwendungsbereich</w:t>
      </w:r>
    </w:p>
    <w:p>
      <w:r>
        <w:rPr>
          <w:color w:val="555555"/>
          <w:sz w:val="18"/>
        </w:rPr>
        <w:t xml:space="preserve">Erste Windenergie-auf-See-Verordnung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Für die im Flächenentwicklungsplan vom 28. Juni 2019[1] festgelegten Flächen N-3.7 und N-3.8 in der deutschen ausschließlichen Wirtschaftszone der Nordsee und O-1.3 in der deutschen ausschließlichen Wirtschaftszone der Ostsee werden durch diese Verordnung</w:t>
      </w:r>
    </w:p>
    <w:p>
      <w:pPr>
        <w:ind w:left="420"/>
      </w:pPr>
      <w:r>
        <w:t xml:space="preserve">1. die Eignung nach § 12 Absatz 5 Satz 1 des Windenergie-auf-See-Gesetzes vom 13. Oktober 2016 (BGBl. I S. 2258, 2310), das zuletzt durch Artikel 1 des Gesetzes vom 3. Dezember 2020 (BGBl. I S. 2682) geändert worden ist, festgestellt,</w:t>
      </w:r>
    </w:p>
    <w:p>
      <w:pPr>
        <w:ind w:left="420"/>
      </w:pPr>
      <w:r>
        <w:t xml:space="preserve">2. Vorgaben für das spätere Vorhaben nach § 12 Absatz 5 Satz 2 und Satz 3 des Windenergie-auf-See-Gesetzes festgelegt und</w:t>
      </w:r>
    </w:p>
    <w:p>
      <w:pPr>
        <w:ind w:left="420"/>
      </w:pPr>
      <w:r>
        <w:t xml:space="preserve">3. die auf den Flächen zu installierende Leistung nach § 12 Absatz 5 Satz 1 in Verbindung mit § 10 Absatz 3 des Windenergie-auf-See-Gesetzes festgestellt.</w:t>
      </w:r>
    </w:p>
    <w:p>
      <w:r>
        <w:t xml:space="preserve">1 Amtlicher Hinweis: Herausgegeben von und zu beziehen beim Bundesamt für Seeschifffahrt und Hydrographie, Bernhard-Nocht-Straße 78, 20359 Hamburg.</w:t>
      </w:r>
    </w:p>
    <w:p>
      <w:r>
        <w:rPr>
          <w:color w:val="555555"/>
          <w:sz w:val="17"/>
        </w:rPr>
        <w:t xml:space="preserve">Zitiervorschlag: § 1 WindSeeV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