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WindSeeG — Verwaltungsvollstreckung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die Durchsetzung der im Planfeststellungsbeschluss oder in der Plangenehmigung nach § 69 getroffenen Regelungen sind die Bestimmungen des zweiten Abschnitts des Verwaltungsvollstreckungsgesetzes mit der Maßgabe anzuwenden, dass ein Zwangsgeld in Höhe bis zu 500 000 Euro angeordnet werden kann.</w:t>
      </w:r>
    </w:p>
    <w:p>
      <w:r>
        <w:t xml:space="preserve">(2) Verwaltungsakte zur Durchführung des Teils 4 Abschnitt 2 werden nach dem Verwaltungs-Vollstreckungsgesetz und dem Gesetz über den unmittelbaren Zwang bei Ausübung öffentlicher Gewalt durch Vollzugsbeamte des Bundes durchgesetzt. Unmittelbarer Zwang wird von den Vollzugsbeamten der Bundespolizei und der Zollverwaltung angewandt.</w:t>
      </w:r>
    </w:p>
    <w:p>
      <w:r>
        <w:rPr>
          <w:color w:val="555555"/>
          <w:sz w:val="17"/>
        </w:rPr>
        <w:t xml:space="preserve">Zitiervorschlag: § 99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