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WindSeeG — Feststellung einer Pilotwindenergieanlage auf See</w:t>
      </w:r>
    </w:p>
    <w:p>
      <w:r>
        <w:rPr>
          <w:color w:val="555555"/>
          <w:sz w:val="18"/>
        </w:rPr>
        <w:t xml:space="preserve">Windenergie-auf-See-Gesetz</w:t>
      </w:r>
    </w:p>
    <w:p>
      <w:r>
        <w:rPr>
          <w:color w:val="555555"/>
          <w:sz w:val="18"/>
        </w:rPr>
        <w:t xml:space="preserve">Stand: 01.01.2023 (konsolidierte Textfassung, kein amtliches Inkrafttretensdatum)</w:t>
      </w:r>
    </w:p>
    <w:p>
      <w:r>
        <w:t xml:space="preserve">Die Bundesnetzagentur stellt im Einvernehmen mit dem Bundesamt für Seeschifffahrt und Hydrographie auf Antrag fest, ob es sich bei einer Windenergieanlage auf See in der ausschließlichen Wirtschaftszone und im Küstenmeer um eine Pilotwindenergieanlage auf See nach § 3 Nummer 6 handelt. Mit dem Antrag müssen geeignete Unterlagen eingereicht werden, die belegen, dass</w:t>
      </w:r>
    </w:p>
    <w:p>
      <w:pPr>
        <w:ind w:left="420"/>
      </w:pPr>
      <w:r>
        <w:t xml:space="preserve">1. es sich um eine der ersten drei Anlagen eines Typs einer Windenergieanlage auf See handelt und</w:t>
      </w:r>
    </w:p>
    <w:p>
      <w:pPr>
        <w:ind w:left="420"/>
      </w:pPr>
      <w:r>
        <w:t xml:space="preserve">2. die Windenergieanlage auf See eine wesentliche, weit über den Stand der Technik hinausgehende Innovation darstellt.</w:t>
      </w:r>
    </w:p>
    <w:p>
      <w:r>
        <w:rPr>
          <w:color w:val="555555"/>
          <w:sz w:val="17"/>
        </w:rPr>
        <w:t xml:space="preserve">Zitiervorschlag: § 93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