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WindSeeG — Nutzung von Unterlagen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Bundesamt für Seeschifffahrt und Hydrographie kann im Fall der Unwirksamkeit von Planfeststellungsbeschlüssen oder Plangenehmigungen nach § 87 Absatz 1 Satz 1 Nummer 1, der Beendigung von Planfeststellungsverfahren oder Plangenehmigungsverfahren nach § 87 Absatz 1 Satz 1 Nummer 1 oder der Aufhebung von Planfeststellungsbeschlüssen oder Plangenehmigungen nach § 69 Absatz 5 sämtliche im Rahmen des Verfahrens vom Vorhabenträger eingereichten Unterlagen zur Aktualisierung und Ergänzung der Unterlagen nach § 10 Absatz 1 verwenden und im Fall eines weiteren Planfeststellungsverfahrens auf der betreffenden Fläche einem neuen Vorhabenträger zur Verfügung stellen.</w:t>
      </w:r>
    </w:p>
    <w:p>
      <w:r>
        <w:t xml:space="preserve">(2) Das Bundesamt für Seeschifffahrt und Hydrographie muss die nach Absatz 1 aktualisierten und ergänzten Unterlagen der Bundesnetzagentur zur Durchführung der Ausschreibung auf der betreffenden Fläche nach Teil 3 Abschnitt 2 oder 5 übermitteln.</w:t>
      </w:r>
    </w:p>
    <w:p>
      <w:r>
        <w:t xml:space="preserve">(3) Die Absätze 1 und 2 sind nicht anzuwenden, soweit in den Unterlagen Betriebs- und Geschäftsgeheimnisse des Vorhabenträgers enthalten sind.</w:t>
      </w:r>
    </w:p>
    <w:p>
      <w:r>
        <w:rPr>
          <w:color w:val="555555"/>
          <w:sz w:val="17"/>
        </w:rPr>
        <w:t xml:space="preserve">Zitiervorschlag: § 91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