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WindSeeG — Rechtsbehelfe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Auf Offshore-Anbindungsleitungen ist § 50 Absatz 1 Nummer 6 der Verwaltungsgerichtsordnung anzuwenden. § 50 Absatz 1 Nummer 6 der Verwaltungsgerichtsordnung ist auch anzuwenden für auf diese Vorhaben bezogene vorläufige Anordnungen und Veränderungssperren.</w:t>
      </w:r>
    </w:p>
    <w:p>
      <w:r>
        <w:t xml:space="preserve">(2) Für Rechtsbehelfe gegen einen Planfeststellungsbeschluss oder eine Plangenehmigung nach § 66 Absatz 1 ist § 43e Absatz 1 bis 3 des Energiewirtschaftsgesetzes anzuwenden.</w:t>
      </w:r>
    </w:p>
    <w:p>
      <w:r>
        <w:rPr>
          <w:color w:val="555555"/>
          <w:sz w:val="17"/>
        </w:rPr>
        <w:t xml:space="preserve">Zitiervorschlag: § 76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