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WindSeeG — Umweltverträglichkeitsprüfung; marine Biotope</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Die Prüfung der Umweltverträglichkeit von Windenergieanlagen auf See oder von sonstigen Energiegewinnungsanlagen nach den Bestimmungen des Gesetzes über die Umweltverträglichkeitsprüfung ist aufgrund einer nach den §§ 5 bis 12 beim Flächenentwicklungsplan oder der Voruntersuchung bereits durchgeführten Strategischen Umweltprüfung auf zusätzliche oder andere erhebliche Umweltauswirkungen sowie auf erforderliche Aktualisierungen und Vertiefungen zu beschränken. Gleiches gilt, soweit eine Windenergieanlage auf See oder eine sonstige Energiegewinnungsanlage in einem vom Bundesfachplan Offshore nach § 17a des Energiewirtschaftsgesetzes festgelegten Cluster oder einem Vorrang-, Vorbehalts- oder Eignungsgebiet eines Raumordnungsplans nach § 17 Absatz 1 Satz 1 des Raumordnungsgesetzes liegt.</w:t>
      </w:r>
    </w:p>
    <w:p>
      <w:r>
        <w:t xml:space="preserve">(1a) Ist eine Umweltverträglichkeitsprüfung nach Absatz 1 erforderlich, so wird diese in einem einzigen Verfahren durchgeführt, in dem alle relevanten Prüfungen kombiniert werden. Das Bundesamt für Seeschifffahrt und Hydrographie gibt unter Berücksichtigung der vom Träger des Vorhabens vorgelegten Informationen eine Stellungnahme zum Umfang und zum Detaillierungsgrad der Informationen ab, die der Träger des Vorhabens in den Bericht zu den voraussichtlichen Umweltauswirkungen des Vorhabens aufnehmen muss, wobei dessen Umfang anschließend nicht erweitert werden darf. Bei Durchführung eines Verfahrens nach § 66 für die Errichtung und den Betrieb von Windenergieanlagen auf See, die nach § 5 Absatz 2c Satz 2 im Flächenentwicklungsplan als Pilotprojekt vorgesehen sind, ist § 44 Absatz 1 und 5 des Bundesnaturschutzgesetzes mit der Maßgabe anzuwenden, dass auch neuartige Maßnahmen für einen begrenzten Zeitraum als Schutz- und Vermeidungsmaßnahmen anerkannt werden können, sofern die Wirksamkeit dieser Minderungsmaßnahmen genau überwacht wird und unverzüglich geeignete Schritte unternommen werden, falls sie sich als nicht wirksam erweisen sollten.</w:t>
      </w:r>
    </w:p>
    <w:p>
      <w:r>
        <w:t xml:space="preserve">(2) § 30 Absatz 2 Satz 1 des Bundesnaturschutzgesetzes ist für Vorhaben nach diesem Gesetz mit der Maßgabe anzuwenden, dass eine erhebliche Beeinträchtigung von Biotopen im Sinn des § 30 Absatz 2 Satz 1 des Bundesnaturschutzgesetzes so weit wie möglich vermieden werden soll.</w:t>
      </w:r>
    </w:p>
    <w:p>
      <w:r>
        <w:rPr>
          <w:color w:val="555555"/>
          <w:sz w:val="17"/>
        </w:rPr>
        <w:t xml:space="preserve">Zitiervorschlag: § 72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