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70b WindSeeG — Vorhaben in Infrastrukturgebieten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Bei der Zulassung und dem Betrieb von Offshore-Anbindungsleitungen, deren Trassen oder Trassenkorridore sowie Konverterplattformstandorte nach dem 19. November 2023 im Flächenentwicklungsplan festgelegt wurden und in Infrastrukturgebieten nach § 12j des Energiewirtschaftsgesetzes liegen, ist abweichend von § 44 Absatz 1 des Bundesnaturschutzgesetzes keine artenschutzrechtliche Prüfung durchzuführen und abweichend von § 34 des Bundesnaturschutzgesetzes von einer Verträglichkeitsprüfung abzusehen. Die Anforderungen nach sonstigen Vorschriften des Fachrechts bleiben unberührt. Absatz 3 bleibt unberührt. § 69 Absatz 3 Satz 1 Nummer 1 ist mit der Maßgabe anzuwenden, dass Auswirkungen auf die Erhaltungsziele nach § 7 Absatz 1 Nummer 9 des Bundesnaturschutzgesetzes und auf die besonders geschützten Arten nach § 7 Absatz 2 Nummer 13 des Bundesnaturschutzgesetzes nicht zu betrachten sind. Das Bundesamt für Seeschifffahrt und Hydrographie ordnet an, dass verhältnismäßige Minderungsmaßnahmen nach § 12j Absatz 7 des Energiewirtschaftsgesetzes und Maßnahmen, einschließlich Maßnahmen nach Regeln, aus dem Flächenentwicklungsplan nach § 5 Absatz 2c Satz 1 zeitnah durchzuführen sind, um die Einhaltung der Vorschriften der §§ 34 und 44 Absatz 1 des Bundesnaturschutzgesetzes zu gewährleisten. Falls durch Maßnahmen nach Satz 5 eine erhebliche Umweltauswirkung nicht angemessen vermindert werden kann, hat der Träger des Vorhabens einen finanziellen Ausgleich zu zahlen. Die Zahlung ist von der zuständigen Behörde zusammen mit der Zulassungsentscheidung als einmalig zu leistender Betrag festzusetzen. Die Höhe der Zahlung beträgt 5 000 bis 17 500 Euro je angefangenem Kilometer Trassenlänge. Sie ist von dem Träger des Vorhabens als zweckgebundene Abgabe an den Bund zu leisten. Die Mittel werden vom Bundesministerium für Umwelt, Klimaschutz, Naturschutz und nukleare Sicherheit bewirtschaftet. Sie sind für Maßnahmen nach § 45d Absatz 1 des Bundesnaturschutzgesetzes zu verwenden, für die nicht bereits nach anderen Vorschriften eine rechtliche Verpflichtung besteht. § 70a Absatz 1 Satz 1 und 2 ist entsprechend anzuwenden.</w:t>
      </w:r>
    </w:p>
    <w:p>
      <w:r>
        <w:t xml:space="preserve">(2) Absatz 1 ist entsprechend für Offshore-Anbindungsleitungen anzuwenden, deren Trassen oder Trassenkorridore sowie Konverterplattformstandorte in einem vor dem 20. November 2023 bekannt gemachten Flächenentwicklungsplan festgelegt worden sind. Diese Gebiete gelten als Infrastrukturgebiete im Sinne von Artikel 15e Absatz 2 Satz 2 der Richtlinie (EU) 2018/2001 in der Fassung vom 18. Oktober 2023.</w:t>
      </w:r>
    </w:p>
    <w:p>
      <w:r>
        <w:t xml:space="preserve">(3) Das Bundesamt für Seeschifffahrt und Hydrographie hat im Benehmen mit dem Bundesamt für Naturschutz in entsprechender Anwendung des § 70a Absatz 3 Satz 1 und 3 bis 5 ein Überprüfungsverfahren durchzuführen. Dabei ist § 70a Absatz 3 Satz 1 und 3 bis 5 mit der Maßgabe anzuwenden, dass der Träger des Vorhabens die Informationen über die Merkmale des Vorhabens, über die Einhaltung der nach § 12j Absatz 7 des Energiewirtschaftsgesetzes sowie § 5 Absatz 2c Satz 1 festgelegten Maßnahmen oder Regeln für diese Maßnahmen, über etwaige zusätzliche vom Träger des Vorhabens getroffene Maßnahmen sowie Informationen darüber, wie mit diesen Maßnahmen auf Umweltauswirkungen reagiert wird, bereits mit den Planunterlagen zur Verfügung stellt und das Bundesamt für Seeschifffahrt und Hydrographie das Überprüfungsverfahren für Vorhaben in Infrastrukturgebieten spätestens parallel zur Prüfung nach § 68 Absatz 2 durchführt und innerhalb von 30 Tagen nach Erhalt der für den Zweck des Überprüfungsverfahrens ausreichenden Informationen abschließt.</w:t>
      </w:r>
    </w:p>
    <w:p>
      <w:r>
        <w:t xml:space="preserve">(4) Ergibt das Überprüfungsverfahren nach Absatz 3 in Verbindung mit § 70a Absatz 3 Satz 1, dass das Vorhaben auch bei Durchführung der Maßnahmen, einschließlich Maßnahmen nach Regeln, aus dem Flächenentwicklungsplan nach § 5 Absatz 2c Satz 1 oder der im Infrastrukturgebieteplan nach § 12j Absatz 7 des Energiewirtschaftsgesetzes festgelegten Minderungsmaßnahmen und der vom Träger des Vorhabens getroffenen Maßnahmen höchstwahrscheinlich erhebliche unvorhergesehene nachteilige Umweltauswirkungen haben wird, so ordnet das Bundesamt für Seeschifffahrt und Hydrographie im Benehmen mit dem Bundesamt für Naturschutz über § 12j Absatz 7 des Energiewirtschaftsgesetzes oder der im Flächenentwicklungsplan festgelegten Minderungsmaßnahmen hinausgehende verhältnismäßige Minderungsmaßnahmen an. Sofern solche verhältnismäßigen Minderungsmaßnahmen nicht verfügbar sind, ordnet das Bundesamt für Seeschifffahrt und Hydrographie im Benehmen mit dem Bundesamt für Naturschutz verhältnismäßige Ausgleichsmaßnahmen an. Falls keine verhältnismäßigen Ausgleichsmaßnahmen zur Verfügung stehen, hat der Träger des Vorhabens einen finanziellen Ausgleich zu zahlen. Die Zahlung ist von der zuständigen Behörde zusammen mit der Zulassungsentscheidung als einmalig zu leistender Betrag festzusetzen. Die Höhe der Zahlung beträgt 5 000 Euro je angefangenen Kilometer Trassenlänge. Sie ist von dem Träger des Vorhabens als zweckgebundene Abgabe an den Bund zu leisten. Die Mittel werden vom Bundesministerium für Umwelt, Klimaschutz, Naturschutz und nukleare Sicherheit bewirtschaftet. Die Mittel sind für Maßnahmen nach § 45d Absatz 1 des Bundesnaturschutzgesetzes zu verwenden, für die nicht bereits nach anderen Vorschriften eine rechtliche Verpflichtung besteht. Aus den Mitteln kann auch der durch die zweckgemäße Verwendung entstehende Verwaltungsaufwand, bestehend aus Personal- und Sachaufwand, gedeckt werden. Die Anforderungen nach sonstigen Vorschriften des Fachrechts bleiben unberührt.</w:t>
      </w:r>
    </w:p>
    <w:p>
      <w:r>
        <w:t xml:space="preserve">(5) Die Minderungsmaßnahmen nach Absatz 1 sowie die Minderungs- und Ausgleichsmaßnahmen nach Absatz 4, beide jeweils einschließlich der Ausgleichszahlungen, sowie die Minderungsmaßnahmen nach Absatz 6 erfüllen in Bezug auf besonders geschützte Arten, Benthos, Biotope sowie die Erhaltungsziele gemäß § 7 Absatz 1 Nummer 9 des Bundesnaturschutzgesetzes dem Grunde und dem Umfang nach die Anforderungen an Ausgleichs- und Ersatzmaßnahmen nach § 15 Absatz 2 und 6 des Bundesnaturschutzgesetzes. Eine weitergehende Prüfung und Bewertung sowie Ausgleich und Ersatz der Eingriffe in Bezug auf besonders geschützte wildlebende Pflanzen und Tierarten, Benthos, Biotope sowie die Erhaltungsziele gemäß § 7 Absatz 1 Nummer 9 des Bundesnaturschutzgesetzes findet nicht statt. Kartierungen für diese Arten und Gebiete als Grundlage für eine Eingriffsbewertung finden nicht statt.</w:t>
      </w:r>
    </w:p>
    <w:p>
      <w:r>
        <w:t xml:space="preserve">(6) Werden die in der Genehmigung für wildlebende Tiere oder Pflanzen der besonders geschützten Arten angeordneten Maßnahmen und der angeordnete finanzielle Ausgleich vorgenommen, ist auch für die Bauphase die Einhaltung der Vorschriften des § 44 Absatz 1 des Bundesnaturschutzgesetzes gewährleistet. Das Bundesamt für Seeschifffahrt und Hydrographie kann erforderliche Anpassungen des Schallschutzkonzeptes auch noch im Vollzug festlegen. Satz 1 ist auch anzuwenden auf wildlebende Tiere und Pflanzen der besonders geschützten Arten, deren Vorkommen zum Zeitpunkt der Genehmigung nicht bekannt war, wobei jedoch für europäische Vogelarten nach § 7 Absatz 2 Nummer 12 des Bundesnaturschutzgesetzes, in Anhang IV der Richtlinie 92/43/EWG aufgeführte Arten oder Arten, die in einer Rechtsverordnung nach § 54 Absatz 1 Nummer 2 des Bundesnaturschutzgesetzes aufgeführt sind, verhältnismäßige Minderungsmaßnahmen zu ergreifen sind, soweit dies ohne zeitliche Verzögerung möglich ist. In den Fällen der Sätze 1 und 3</w:t>
      </w:r>
    </w:p>
    <w:p>
      <w:pPr>
        <w:ind w:left="420"/>
      </w:pPr>
      <w:r>
        <w:t xml:space="preserve">1. ist keine Ausnahme nach § 45 Absatz 7 des Bundesnaturschutzgesetzes erforderlich,</w:t>
      </w:r>
    </w:p>
    <w:p>
      <w:pPr>
        <w:ind w:left="420"/>
      </w:pPr>
      <w:r>
        <w:t xml:space="preserve">2. liegt keine Schädigung nach § 19 des Bundesnaturschutzgesetzes vor.</w:t>
      </w:r>
    </w:p>
    <w:p>
      <w:r>
        <w:t xml:space="preserve">(7) Die Absätze 1 bis 6 sind nicht anzuwenden, wenn der Antrag auf Planfeststellung oder Plangenehmigung für Offshore-Anbindungsleitungen in der ausschließlichen Wirtschaftszone vor der Ausweisung der Infrastrukturgebiete im Infrastrukturgebieteplan nach § 12j des Energiewirtschaftsgesetzes gestellt wurde.</w:t>
      </w:r>
    </w:p>
    <w:p>
      <w:r>
        <w:rPr>
          <w:color w:val="555555"/>
          <w:sz w:val="17"/>
        </w:rPr>
        <w:t xml:space="preserve">Zitiervorschlag: § 70b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