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WindSeeG — Übergang vom Bundesfachplan Offshore und vom Offshore-Netzentwicklungsplan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Festlegungen ab dem Jahr 2026 werden</w:t>
      </w:r>
    </w:p>
    <w:p>
      <w:pPr>
        <w:ind w:left="420"/>
      </w:pPr>
      <w:r>
        <w:t xml:space="preserve">1. die bisher im Bundesfachplan Offshore nach § 17a des Energiewirtschaftsgesetzes getroffenen Festlegungen durch die im Flächenentwicklungsplan nach § 5 getroffenen Festlegungen abgelöst und</w:t>
      </w:r>
    </w:p>
    <w:p>
      <w:pPr>
        <w:ind w:left="420"/>
      </w:pPr>
      <w:r>
        <w:t xml:space="preserve">2. die bisher im Offshore-Netzentwicklungsplan nach den §§ 17b und 17c des Energiewirtschaftsgesetzes getroffenen Festlegungen teilweise durch die im Flächenentwicklungsplan nach § 5 und teilweise durch die im Netzentwicklungsplan nach den §§ 12b und 12c des Energiewirtschaftsgesetzes getroffenen Festlegungen abgelöst.</w:t>
      </w:r>
    </w:p>
    <w:p>
      <w:r>
        <w:rPr>
          <w:color w:val="555555"/>
          <w:sz w:val="17"/>
        </w:rPr>
        <w:t xml:space="preserve">Zitiervorschlag: § 7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