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WindSeeG — Planfeststellung und Plangenehmigung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Die Errichtung und der Betrieb von Einrichtungen bedürfen der Planfeststellung. Abweichend von Satz 1 bedürfen die wesentliche Änderung von Einrichtungen sowie die Errichtung und der Betrieb von Einrichtungen auf Beschleunigungsflächen und zentral voruntersuchten Flächen, die den Vorgaben der Rechtsverordnung nach § 12 Absatz 5 entsprechen, sowie die Errichtung und der Betrieb von Offshore-Anbindungsleitungen und Anlagen zur Übertragung von anderen Energieträgern aus Windenergieanlagen auf See oder aus sonstigen Energiegewinnungsanlagen der Plangenehmigung.</w:t>
      </w:r>
    </w:p>
    <w:p>
      <w:r>
        <w:t xml:space="preserve">(2) Zuständige Anhörungs- und Planfeststellungsbehörde sowie Plangenehmigungsbehörde ist das Bundesamt für Seeschifffahrt und Hydrographie. Das Bundesamt für Seeschifffahrt und Hydrographie ist für Zulassungsverfahren nach diesem Gesetz zugleich Anlaufstelle nach Artikel 16 Absatz 3 der Richtlinie (EU) 2018/2001 in der Fassung vom 18. Oktober 2023.</w:t>
      </w:r>
    </w:p>
    <w:p>
      <w:r>
        <w:t xml:space="preserve">(3) Für das Planfeststellungsverfahren sind die §§ 72 bis 78 des Verwaltungsverfahrensgesetzes anzuwenden, soweit dieses Gesetz nichts anderes bestimmt. § 36 Absatz 2 und 3 des Verwaltungsverfahrensgesetzes ist anzuwenden.</w:t>
      </w:r>
    </w:p>
    <w:p>
      <w:r>
        <w:rPr>
          <w:color w:val="555555"/>
          <w:sz w:val="17"/>
        </w:rPr>
        <w:t xml:space="preserve">Zitiervorschlag: § 66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