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WindSeeG — Geltungsbereich von Teil 4</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Bestimmungen dieses Teils sind anzuwenden für die Errichtung, den Betrieb und die Änderung von Windenergieanlagen auf See, sonstigen Energiegewinnungsanlagen sowie Offshore-Anbindungsleitungen, Anlagen zur Übertragung von Strom aus Windenergieanlagen auf See und Anlagen zur Übertragung von anderen Energieträgern aus Windenergieanlagen auf See oder aus sonstigen Energiegewinnungsanlagen jeweils einschließlich der zur Errichtung und zum Betrieb der Anlagen erforderlichen technischen und baulichen Nebeneinrichtungen (Einrichtungen), wenn und soweit</w:t>
      </w:r>
    </w:p>
    <w:p>
      <w:pPr>
        <w:ind w:left="420"/>
      </w:pPr>
      <w:r>
        <w:t xml:space="preserve">1. sie im Bereich der ausschließlichen Wirtschaftszone der Bundesrepublik Deutschland liegen oder</w:t>
      </w:r>
    </w:p>
    <w:p>
      <w:pPr>
        <w:ind w:left="420"/>
      </w:pPr>
      <w:r>
        <w:t xml:space="preserve">2. sie auf der Hohen See liegen und wenn der Unternehmenssitz des Vorhabenträgers im Bundesgebiet liegt.</w:t>
      </w:r>
    </w:p>
    <w:p>
      <w:r>
        <w:t xml:space="preserve">(2) Die Bestimmungen von Abschnitt 2 Unterabschnitt 2 dieses Teils sind mit Ausnahme von § 87 Absatz 1 Satz 1 Nummer 1 und § 91 auch auf Windenergieanlagen auf See im Küstenmeer entsprechend anzuwenden.</w:t>
      </w:r>
    </w:p>
    <w:p>
      <w:r>
        <w:rPr>
          <w:color w:val="555555"/>
          <w:sz w:val="17"/>
        </w:rPr>
        <w:t xml:space="preserve">Zitiervorschlag: § 65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