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WindSeeG — Rechtsfolgen des Eintritts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Sofern die Voraussetzungen für das Eintrittsrecht nach § 61 Absatz 1 vorliegen und der Inhaber des bestehenden Projekts das Eintrittsrecht nach § 63 wirksam ausgeübt hat, geht der dem Bieter nach § 54 erteilte Zuschlag für die von dem Eintrittsrecht betroffene zentral voruntersuchte Fläche auf den Inhaber des bestehenden Projekts vollständig über.</w:t>
      </w:r>
    </w:p>
    <w:p>
      <w:r>
        <w:t xml:space="preserve">(2) Der Übergang des Zuschlags auf den Inhaber des bestehenden Projekts nach Absatz 1 erfasst die Zahlungsverpflichtungen nach den §§ 58 und 59 in der Höhe des Gebotswerts des bezuschlagten Gebots nach § 53 Absatz 1 Satz 1 Nummer 1. Der Übergang des Zuschlags erfasst abweichend von Absatz 1 nicht die Erfüllung der Kriterien nach § 53 Absatz 1 Nummer 2 bis 5. Der Inhaber des bestehenden Projekts bleibt insofern gemäß § 55 Absatz 2 an seine Angaben nach § 51 aus dem Gebot gebunden.</w:t>
      </w:r>
    </w:p>
    <w:p>
      <w:r>
        <w:rPr>
          <w:color w:val="555555"/>
          <w:sz w:val="17"/>
        </w:rPr>
        <w:t xml:space="preserve">Zitiervorschlag: § 64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