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WindSeeG — Datenüberlassung und Verzichtserklärung</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Das Eintrittsrecht setzt voraus, dass der Inhaber eines bestehenden Projekts in der ausschließlichen Wirtschaftszone</w:t>
      </w:r>
    </w:p>
    <w:p>
      <w:pPr>
        <w:ind w:left="420"/>
      </w:pPr>
      <w:r>
        <w:t xml:space="preserve">1. dem Bundesamt für Seeschifffahrt und Hydrographie</w:t>
      </w:r>
    </w:p>
    <w:p>
      <w:pPr>
        <w:ind w:left="780"/>
      </w:pPr>
      <w:r>
        <w:t xml:space="preserve">a) sämtliche im Rahmen des Planfeststellungsverfahrens oder Genehmigungsverfahrens nach der Seeanlagenverordnung in der vor dem 1. Januar 2017 geltenden Fassung vom Vorhabenträger eingereichte Unterlagen und</w:t>
      </w:r>
    </w:p>
    <w:p>
      <w:pPr>
        <w:ind w:left="780"/>
      </w:pPr>
      <w:r>
        <w:t xml:space="preserve">b) sämtliche beim Vorhabenträger vorhandene Untersuchungsergebnisse und Unterlagen, die denjenigen nach § 10 Absatz 1 entsprechen,</w:t>
      </w:r>
    </w:p>
    <w:p>
      <w:pPr>
        <w:ind w:left="420"/>
      </w:pPr>
      <w:r>
        <w:t xml:space="preserve">jeweils einschließlich der Rohdaten frei von Rechten Dritter, die die Nutzung durch das Bundesamt für Seeschifffahrt und Hydrographie und andere Vorhabenträger beschränken oder verhindern, überlässt und</w:t>
      </w:r>
    </w:p>
    <w:p>
      <w:pPr>
        <w:ind w:left="420"/>
      </w:pPr>
      <w:r>
        <w:t xml:space="preserve">2. gegenüber dem Bundesamt für Seeschifffahrt und Hydrographie schriftlich erklärt, frei von Bedingungen, Befristungen oder sonstigen Nebenbestimmungen zu verzichten</w:t>
      </w:r>
    </w:p>
    <w:p>
      <w:pPr>
        <w:ind w:left="780"/>
      </w:pPr>
      <w:r>
        <w:t xml:space="preserve">a) auf sämtliche ihm mit der Planfeststellung oder Genehmigung des Vorhabens nach der Seeanlagenverordnung in der vor dem 1. Januar 2017 geltenden Fassung eingeräumten Rechte und</w:t>
      </w:r>
    </w:p>
    <w:p>
      <w:pPr>
        <w:ind w:left="780"/>
      </w:pPr>
      <w:r>
        <w:t xml:space="preserve">b) auf sämtliche Rechte an den Untersuchungsergebnissen und Unterlagen nach Nummer 1.</w:t>
      </w:r>
    </w:p>
    <w:p>
      <w:r>
        <w:t xml:space="preserve">(2) Die Verzichtserklärung nach Absatz 1 Nummer 2 muss dem Bundesamt für Seeschifffahrt und Hydrographie spätestens zum Ablauf des Kalendermonats zugehen, der auf die Bekanntmachung der Zuschläge in der Ausschreibung zum Gebotstermin 1. April 2018 folgt (materielle Ausschlussfrist). Die Datenüberlassung nach Absatz 1 Nummer 1 muss in derselben Frist erfolgen.</w:t>
      </w:r>
    </w:p>
    <w:p>
      <w:r>
        <w:t xml:space="preserve">(3) Das Bundesamt für Seeschifffahrt und Hydrographie kann für die Verzichtserklärung nach Absatz 1 Nummer 2 Formulare bereitstellen und deren Nutzung verbindlich vorgeben. Erklärungen, die ohne Nutzung dieser Formulare abgegeben werden, sind unwirksam.</w:t>
      </w:r>
    </w:p>
    <w:p>
      <w:r>
        <w:t xml:space="preserve">(4) Das Bundesamt für Seeschifffahrt und Hydrographie stellt durch feststellenden Verwaltungsakt nach Ablauf der Frist nach Absatz 2 gegenüber allen Inhabern bestehender Projekte, die eine Verzichtserklärung abgegeben und Daten überlassen haben, fest, ob der Verzicht wirksam und die überlassenen Daten vollständig sind. In dem Bescheid ist auch festzustellen, auf welche Fläche sich der Verzicht und die überlassenen Daten beziehen.</w:t>
      </w:r>
    </w:p>
    <w:p>
      <w:r>
        <w:t xml:space="preserve">(5) Bei bestehenden Projekten im Küstenmeer sind die Absätze 1 und 2 mit den Maßgaben anzuwenden, dass</w:t>
      </w:r>
    </w:p>
    <w:p>
      <w:pPr>
        <w:ind w:left="420"/>
      </w:pPr>
      <w:r>
        <w:t xml:space="preserve">1. die Planfeststellung oder Genehmigung und das Planfeststellungsverfahren oder das Genehmigungsverfahren nach der Seeanlagenverordnung in der vor dem 1. Januar 2017 geltenden Fassung durch die Genehmigung und das Genehmigungsverfahren nach dem Bundes-Immissionsschutzgesetz zu ersetzen sind und</w:t>
      </w:r>
    </w:p>
    <w:p>
      <w:pPr>
        <w:ind w:left="420"/>
      </w:pPr>
      <w:r>
        <w:t xml:space="preserve">2. an die Stelle des Bundesamtes für Seeschifffahrt und Hydrographie die zuständige Landesbehörde tritt.</w:t>
      </w:r>
    </w:p>
    <w:p>
      <w:r>
        <w:rPr>
          <w:color w:val="555555"/>
          <w:sz w:val="17"/>
        </w:rPr>
        <w:t xml:space="preserve">Zitiervorschlag: § 62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