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WindSeeG — Stromkostensenkungskomponente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29.03.2024 (konsolidierte Textfassung, kein amtliches Inkrafttretensdatum)</w:t>
      </w:r>
    </w:p>
    <w:p>
      <w:r>
        <w:t xml:space="preserve">(1) Der bezuschlagte Bieter leistet an den anbindungsverpflichteten Übertragungsnetzbetreiber eine Zahlung in Höhe von 90 Prozent des Gebots nach § 53 Absatz 1 Satz 1 Nummer 1, die der Übertragungsnetzbetreiber zur Senkung der Kosten verwendet, die in den Ausgleich nach § 15 des Energiefinanzierungsgesetzes und den Aufschlag nach § 12 Absatz 1 des Energiefinanzierungsgesetzes, jeweils bezogen auf die Offshore-Netzumlage nach § 2 Nummer 11 des Energiefinanzierungsgesetzes, einfließen.</w:t>
      </w:r>
    </w:p>
    <w:p>
      <w:r>
        <w:t xml:space="preserve">(2) Die Stromkostensenkungskomponente nach Absatz 1 ist über einen Zeitraum von 20 Jahren in gleichbleibenden jährlichen Raten zu zahlen, beginnend mit der Erbringung des Nachweises nach § 81 Absatz 2 Nummer 4.</w:t>
      </w:r>
    </w:p>
    <w:p>
      <w:r>
        <w:rPr>
          <w:color w:val="555555"/>
          <w:sz w:val="17"/>
        </w:rPr>
        <w:t xml:space="preserve">Zitiervorschlag: § 59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