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WindSeeG — Meeresnaturschutz-, Fischerei- und Transformationskomponente</w:t>
      </w:r>
    </w:p>
    <w:p>
      <w:r>
        <w:rPr>
          <w:color w:val="555555"/>
          <w:sz w:val="18"/>
        </w:rPr>
        <w:t xml:space="preserve">Windenergie-auf-See-Gesetz</w:t>
      </w:r>
    </w:p>
    <w:p>
      <w:r>
        <w:rPr>
          <w:color w:val="555555"/>
          <w:sz w:val="18"/>
        </w:rPr>
        <w:t xml:space="preserve">Stand: 23.12.2025 (konsolidierte Textfassung, kein amtliches Inkrafttretensdatum)</w:t>
      </w:r>
    </w:p>
    <w:p>
      <w:r>
        <w:t xml:space="preserve">(1) Der bezuschlagte Bieter leistet innerhalb von zwölf Monaten nach Erteilung des Zuschlags eine Zahlung in Höhe von 5 Prozent des Gebots nach § 53 Absatz 1 Satz 1 Nummer 1 als Meeresnaturschutzkomponente an den Bundeshaushalt. Die Mittel aus der Zahlung sind zweckgebunden insbesondere für Maßnahmen des Meeresnaturschutzes möglichst in dem betroffenen Naturraum zu verwenden, für die nicht bereits nach anderen Vorschriften eine rechtliche Verpflichtung besteht. Die Mittel werden vom Bundesministerium für Umwelt, Klimaschutz, Naturschutz und nukleare Sicherheit bewirtschaftet. Die Verpflichtungen nach § 15 des Bundesnaturschutzgesetzes bleiben unberührt.</w:t>
      </w:r>
    </w:p>
    <w:p>
      <w:r>
        <w:t xml:space="preserve">(2) Der bezuschlagte Bieter leistet innerhalb von zwölf Monaten nach Erteilung des Zuschlags eine Zahlung in Höhe von 5 Prozent des Gebots nach § 53 Absatz 1 Satz 1 Nummer 1 als Fischereikomponente an den Bundeshaushalt. Die Mittel aus der Zahlung sind zweckgebunden insbesondere für Maßnahmen zur umweltschonenden Fischerei einschließlich Fischereistrukturmaßnahmen möglichst in dem betroffenen Naturraum zu verwenden, für die nicht bereits nach anderen Vorschriften eine rechtliche Verpflichtung besteht. Die Mittel werden vom Bundesministerium für Landwirtschaft, Ernährung und Heimat bewirtschaftet.</w:t>
      </w:r>
    </w:p>
    <w:p>
      <w:r>
        <w:t xml:space="preserve">(3) Sind die Einnahmen für die Meeresnaturschutzkomponente nach Absatz 1 und § 23 Absatz 1 Satz 1 Nummer 2 und die Fischereikomponente nach Absatz 2 und § 23 Absatz 1 Satz 1 Nummer 3 aus Ausschreibungen nach Teil 3 Abschnitt 2 und 5 in einem Ausschreibungsjahr für die Meeresschutz- und Fischereikomponente insgesamt höher als 200 Millionen Euro, fließen die diesen Betrag übersteigenden Einnahmen in den Jahren 2025 und 2026 als Transformationskomponente an den Bundeshaushalt.</w:t>
      </w:r>
    </w:p>
    <w:p>
      <w:r>
        <w:t xml:space="preserve">(4) Für Ausschreibungen im Jahr 2023 leistet der bezuschlagte Bieter innerhalb von zwölf Monaten nach Erteilung des Zuschlags abweichend von Absatz 1 Satz 1, Absatz 2 Satz 1 und Absatz 3 eine Zahlung von 3,125 Prozent des Gebots nach § 53 Absatz 1 Satz 1 Nummer 1 als Meeresnaturschutzkomponente, eine Zahlung von 1 Prozent des Gebots nach § 53 Absatz 1 Satz 1 Nummer 1 als Fischereikomponente und eine Zahlung in Höhe von 5,875 Prozent des Gebots nach § 53 Absatz 1 Satz 1 Nummer 1 als Transformationskomponente an den Bundeshaushalt.</w:t>
      </w:r>
    </w:p>
    <w:p>
      <w:r>
        <w:rPr>
          <w:color w:val="555555"/>
          <w:sz w:val="17"/>
        </w:rPr>
        <w:t xml:space="preserve">Zitiervorschlag: § 58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