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WindSeeG — Zweckbindung der Zahlungen</w:t>
      </w:r>
    </w:p>
    <w:p>
      <w:r>
        <w:rPr>
          <w:color w:val="555555"/>
          <w:sz w:val="18"/>
        </w:rPr>
        <w:t xml:space="preserve">Windenergie-auf-See-Gesetz</w:t>
      </w:r>
    </w:p>
    <w:p>
      <w:r>
        <w:rPr>
          <w:color w:val="555555"/>
          <w:sz w:val="18"/>
        </w:rPr>
        <w:t xml:space="preserve">Stand: 24.01.2026 (konsolidierte Textfassung, kein amtliches Inkrafttretensdatum)</w:t>
      </w:r>
    </w:p>
    <w:p>
      <w:r>
        <w:t xml:space="preserve">Die Einnahmen aus den gebotenen Zahlungen nach § 53 Absatz 1 Satz 1 Nummer 1 werden anteilig für den Bereich des Bundesministeriums für Umwelt, Klimaschutz, Naturschutz und nukleare Sicherheit insbesondere für Maßnahmen des Meeresnaturschutzes, für den Bereich des Bundesministeriums für Landwirtschaft, Ernährung und Heimat insbesondere zur umweltschonenden Fischerei einschließlich Fischereistrukturmaßnahmen, als Einnahmen des Bundeshaushalts zu Transformationszwecken sowie zur Senkung der Offshore-Netzumlage gemäß § 2 Nummer 11 des Energiefinanzierungsgesetzes verwendet. Die Einnahmen aus den gebotenen Zahlungen nach § 53 Absatz 1 Satz 1 Nummer 1 werden abweichend von Satz 1 für Ausschreibungen im Jahr 2023 anteilig für Maßnahmen des Meeresnaturschutzes, zur umweltschonenden Fischerei einschließlich Fischereistrukturmaßnahmen, als Einnahmen des Bundeshaushalts sowie zur Senkung der Offshore-Netzumlage gemäß § 2 Nummer 11 des Energiefinanzierungsgesetzes verwendet.</w:t>
      </w:r>
    </w:p>
    <w:p>
      <w:r>
        <w:rPr>
          <w:color w:val="555555"/>
          <w:sz w:val="17"/>
        </w:rPr>
        <w:t xml:space="preserve">Zitiervorschlag: § 57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