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WindSeeG — Sicherheit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Höhe der Sicherheit nach § 31 des Erneuerbare-Energien-Gesetzes bestimmt sich aus der Gebotsmenge multipliziert mit 200 Euro pro Kilowatt zu installierender Leistung und ist nach Maßgabe des Absatzes 2 zu hinterlegen.</w:t>
      </w:r>
    </w:p>
    <w:p>
      <w:r>
        <w:t xml:space="preserve">(2) Bieter haben eine Sicherheit in Höhe von 25 Prozent der Gesamtsumme nach Absatz 1 bis zum jeweiligen Gebotstermin bei der Bundesnetzagentur zu hinterlegen. Der bezuschlagte Bieter hat zusätzlich innerhalb von drei Monaten nach Erteilung des Zuschlags nach § 54 eine Sicherheit in Höhe der verbleibenden 75 Prozent der Gesamtsumme nach Absatz 1 bei der Bundesnetzagentur zu hinterlegen.</w:t>
      </w:r>
    </w:p>
    <w:p>
      <w:r>
        <w:t xml:space="preserve">(3) Sofern der bezuschlagte Bieter gegen die Frist des Absatzes 2 Satz 2 verstößt, hat der bezuschlagte Bieter an den Bundeshaushalt eine Pönale in Höhe von 25 Prozent der Sicherheit nach Absatz 1 zu leisten. Die Sicherheit nach Absatz 2 Satz 1 kann zu diesem Zweck verwertet werden.</w:t>
      </w:r>
    </w:p>
    <w:p>
      <w:r>
        <w:rPr>
          <w:color w:val="555555"/>
          <w:sz w:val="17"/>
        </w:rPr>
        <w:t xml:space="preserve">Zitiervorschlag: § 52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