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WindSeeG — Rechtsfolgen des Zuschlags</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Mit der Erteilung des Zuschlags nach § 34 hat der bezuschlagte Bieter</w:t>
      </w:r>
    </w:p>
    <w:p>
      <w:pPr>
        <w:ind w:left="420"/>
      </w:pPr>
      <w:r>
        <w:t xml:space="preserve">1. Anspruch auf die Marktprämie nach § 19 des Erneuerbare-Energien-Gesetzes für Strom aus Windenergieanlagen auf See im Umfang der bezuschlagten Gebotsmenge auf der Fläche nach § 35, solange und soweit die weiteren Voraussetzungen für den Anspruch nach § 19 des Erneuerbare-Energien-Gesetzes erfüllt sind; dieser Anspruch beginnt abweichend von § 25 Absatz 1 Satz 3 des Erneuerbare-Energien-Gesetzes frühestens in dem Kalenderjahr, das die Bundesnetzagentur in dem Zuschlag bestimmt; grundsätzlich bestimmt die Bundesnetzagentur das nach § 29 Satz 2 Nummer 6 bekannt gemachte Kalenderjahr; um die Verteilung des Zubaus in der Übergangsphase zu erreichen, kann die Bundesnetzagentur für die erteilten Zuschläge in absteigender Reihenfolge der Kalenderjahre nach dem dritten Teilsatz, bei selben Kalenderjahren in absteigender Reihenfolge der Zuschlagswerte, ganz oder teilweise abweichende Kalenderjahre bestimmen, wobei sicherzustellen ist, dass der Anspruch auf die Marktprämie in den Jahren 2021 bis 2023 für Windenergieanlagen mit einer installierten Leistung von höchstens 1 700 Megawatt und in den Jahren 2021 bis 2024 für Windenergieanlagen mit einer installierten Leistung von höchstens 2 400 Megawatt beginnt; in diesem Fall kann sie auf Antrag des bezuschlagten Bieters und nach Anhörung des anbindungsverpflichteten Übertragungsnetzbetreibers von § 81 ganz oder teilweise abweichende Realisierungsfristen festsetzen; und</w:t>
      </w:r>
    </w:p>
    <w:p>
      <w:pPr>
        <w:ind w:left="420"/>
      </w:pPr>
      <w:r>
        <w:t xml:space="preserve">2. im Umfang der bezuschlagten Gebotsmenge</w:t>
      </w:r>
    </w:p>
    <w:p>
      <w:pPr>
        <w:ind w:left="780"/>
      </w:pPr>
      <w:r>
        <w:t xml:space="preserve">a) Anspruch auf Anschluss der Windenergieanlagen auf See auf der Fläche nach § 35 an die nach dem Offshore-Netzentwicklungsplan nach den §§ 17b und 17c des Energiewirtschaftsgesetzes vorgesehene Offshore-Anbindungsleitung ab dem Zeitpunkt des Eintritts des verbindlichen Fertigstellungstermins nach § 17d Absatz 2 Satz 8 des Energiewirtschaftsgesetzes und</w:t>
      </w:r>
    </w:p>
    <w:p>
      <w:pPr>
        <w:ind w:left="780"/>
      </w:pPr>
      <w:r>
        <w:t xml:space="preserve">b) zugewiesene Netzanbindungskapazität auf der nach dem Offshore-Netzentwicklungsplan nach den §§ 17b und 17c des Energiewirtschaftsgesetzes vorgesehenen Offshore-Anbindungsleitung ab dem verbindlichen Fertigstellungstermin nach § 17d Absatz 2 Satz 8 des Energiewirtschaftsgesetzes.</w:t>
      </w:r>
    </w:p>
    <w:p>
      <w:r>
        <w:t xml:space="preserve">(2) Durch den Zuschlag werden vorbehaltlich des § 69 Absatz 7 und des § 17d Absatz 5 Satz 1 des Energiewirtschaftsgesetzes keine Rechte begründet für die Zeit nach dem Ende des Anspruchs auf die Marktprämie nach § 25 Absatz 1 Satz 1 des Erneuerbare-Energien-Gesetzes. Die Fläche nach § 35 kann nach Maßgabe des Flächenentwicklungsplans nach § 8 Absatz 3 erneut ausgeschrieben werden.</w:t>
      </w:r>
    </w:p>
    <w:p>
      <w:r>
        <w:rPr>
          <w:color w:val="555555"/>
          <w:sz w:val="17"/>
        </w:rPr>
        <w:t xml:space="preserve">Zitiervorschlag: § 37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