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WindSeeG — Zuschlagswert und anzulegender Wert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Zuschlagswert ist der in dem jeweiligen bezuschlagten Gebot angegebene Gebotswert.</w:t>
      </w:r>
    </w:p>
    <w:p>
      <w:r>
        <w:t xml:space="preserve">(2) Der anzulegende Wert ist jeweils der Zuschlagswert.</w:t>
      </w:r>
    </w:p>
    <w:p>
      <w:r>
        <w:rPr>
          <w:color w:val="555555"/>
          <w:sz w:val="17"/>
        </w:rPr>
        <w:t xml:space="preserve">Zitiervorschlag: § 36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