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WindSeeG — Flächenbezug des Zuschlags</w:t>
      </w:r>
    </w:p>
    <w:p>
      <w:r>
        <w:rPr>
          <w:color w:val="555555"/>
          <w:sz w:val="18"/>
        </w:rPr>
        <w:t xml:space="preserve">Windenergie-auf-See-Gesetz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Bundesnetzagentur muss den Zuschlag bezogen auf die Fläche erteilen, die sich aus den Standortangaben nach § 31 Absatz 1 Satz 2 ergibt.</w:t>
      </w:r>
    </w:p>
    <w:p>
      <w:r>
        <w:rPr>
          <w:color w:val="555555"/>
          <w:sz w:val="17"/>
        </w:rPr>
        <w:t xml:space="preserve">Zitiervorschlag: § 35 WindSeeG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https://recht.nulegal.eu/gesetze/WindSeeG/35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