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WindSeeG — Zuschlagsverfahren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Die Bundesnetzagentur führt bei jeder Ausschreibung das folgende Zuschlagsverfahren durch. Sie</w:t>
      </w:r>
    </w:p>
    <w:p>
      <w:pPr>
        <w:ind w:left="420"/>
      </w:pPr>
      <w:r>
        <w:t xml:space="preserve">1. sortiert die Gebote einschließlich der Hilfsgebote</w:t>
      </w:r>
    </w:p>
    <w:p>
      <w:pPr>
        <w:ind w:left="780"/>
      </w:pPr>
      <w:r>
        <w:t xml:space="preserve">a) bei unterschiedlichen Gebotswerten nach dem jeweiligen Gebotswert von Geboten und Hilfsgeboten in aufsteigender Reihenfolge, beginnend mit dem Gebot mit dem niedrigsten Gebotswert,</w:t>
      </w:r>
    </w:p>
    <w:p>
      <w:pPr>
        <w:ind w:left="780"/>
      </w:pPr>
      <w:r>
        <w:t xml:space="preserve">b) bei demselben Gebotswert nach der jeweiligen Mindestgebotsmenge in aufsteigender Reihenfolge, beginnend mit der niedrigsten Mindestgebotsmenge; soweit die Gebotswerte und die Mindestgebotsmengen der Gebote gleich sind, entscheidet das Los über die Reihenfolge, soweit die Reihenfolge für die Zuschlagserteilung maßgeblich ist, und</w:t>
      </w:r>
    </w:p>
    <w:p>
      <w:pPr>
        <w:ind w:left="420"/>
      </w:pPr>
      <w:r>
        <w:t xml:space="preserve">2. prüft jedes Gebot in der Reihenfolge nach Nummer 1 anhand des folgenden Verfahrens:</w:t>
      </w:r>
    </w:p>
    <w:p>
      <w:pPr>
        <w:ind w:left="780"/>
      </w:pPr>
      <w:r>
        <w:t xml:space="preserve">a) Wenn durch die Mindestgebotsmenge weder das Ausschreibungsvolumen überschritten noch eine clusterinterne Kapazitätsknappheit ausgelöst wird (Zuschlagsgrenzen), wird ein Zuschlag nach Maßgabe von Buchstabe b erteilt; andernfalls wird für das Gebot kein Zuschlag erteilt.</w:t>
      </w:r>
    </w:p>
    <w:p>
      <w:pPr>
        <w:ind w:left="780"/>
      </w:pPr>
      <w:r>
        <w:t xml:space="preserve">b) Der Zuschlag wird in Höhe der Gebotsmenge erteilt, wenn dadurch keine der Zuschlagsgrenzen nach Buchstabe a überschritten wird; andernfalls wird der Zuschlag in dem Umfang erteilt, der unter Einhaltung der Zuschlagsgrenzen möglich ist.</w:t>
      </w:r>
    </w:p>
    <w:p>
      <w:r>
        <w:t xml:space="preserve">Hat die Bundesnetzagentur einem Gebot nach Satz 2 einen Zuschlag erteilt, darf sie einem Hilfsgebot zu diesem Gebot keinen Zuschlag erteilen.</w:t>
      </w:r>
    </w:p>
    <w:p>
      <w:r>
        <w:t xml:space="preserve">(2) Bei der Ausschreibung zum Gebotstermin 1. April 2018 findet Absatz 1 mit der Maßgabe Anwendung, dass die Bundesnetzagentur in der Reihenfolge nach Absatz 1 Satz 2 Nummer 1 zunächst Geboten für bestehende Projekte in der Ostsee Zuschläge erteilt, bis die Mindestmenge für die Ostsee erreicht oder erstmals überschritten wird, wobei ein Zuschlag nur erteilt wird, wenn dadurch keine clusterinterne Kapazitätsknappheit ausgelöst wird. Die Mindestmenge für die Ostsee beträgt 500 Megawatt abzüglich des Umfangs der Zuschläge, die in der Ausschreibung zum Gebotstermin 1. April 2017 für bestehende Projekte in der Ostsee erteilt worden sind. Anschließend führt die Bundesnetzagentur für die verbleibenden Gebote das Verfahren nach Absatz 1 Satz 2 Nummer 2 durch.</w:t>
      </w:r>
    </w:p>
    <w:p>
      <w:r>
        <w:t xml:space="preserve">(3) Die Bundesnetzagentur erteilt die Zuschläge unter dem Vorbehalt des Widerrufs nach § 82 Absatz 3.</w:t>
      </w:r>
    </w:p>
    <w:p>
      <w:r>
        <w:t xml:space="preserve">(4) Die Bundesnetzagentur kann durch Festlegung nach § 29 des Energiewirtschaftsgesetzes nähere Bestimmungen zur Umsetzung der Absätze 1 und 2 treffen.</w:t>
      </w:r>
    </w:p>
    <w:p>
      <w:r>
        <w:rPr>
          <w:color w:val="555555"/>
          <w:sz w:val="17"/>
        </w:rPr>
        <w:t xml:space="preserve">Zitiervorschlag: § 34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