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WindSeeG — Rechtsfolgen des Zuschlags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Mit der Erteilung des Zuschlags nach § 20 oder § 21 hat der bezuschlagte Bieter</w:t>
      </w:r>
    </w:p>
    <w:p>
      <w:pPr>
        <w:ind w:left="420"/>
      </w:pPr>
      <w:r>
        <w:t xml:space="preserve">1. das ausschließliche Recht zur Durchführung eines Planfeststellungsverfahrens nach Teil 4 Abschnitt 1 zur Errichtung und zum Betrieb von Windenergieanlagen auf See auf der jeweiligen Fläche,</w:t>
      </w:r>
    </w:p>
    <w:p>
      <w:pPr>
        <w:ind w:left="420"/>
      </w:pPr>
      <w:r>
        <w:t xml:space="preserve">2. Anspruch auf die Marktprämie nach § 19 des Erneuerbare-Energien-Gesetzes für Strom aus Windenergieanlagen auf See im Umfang der bezuschlagten Gebotsmenge auf der jeweiligen Fläche, solange und soweit die weiteren Voraussetzungen für den Anspruch nach § 19 des Erneuerbare-Energien-Gesetzes erfüllt sind, und</w:t>
      </w:r>
    </w:p>
    <w:p>
      <w:pPr>
        <w:ind w:left="420"/>
      </w:pPr>
      <w:r>
        <w:t xml:space="preserve">3. im Umfang der bezuschlagten Gebotsmenge Anspruch auf</w:t>
      </w:r>
    </w:p>
    <w:p>
      <w:pPr>
        <w:ind w:left="780"/>
      </w:pPr>
      <w:r>
        <w:t xml:space="preserve">a) den Anschluss der Windenergieanlagen auf See auf der jeweiligen Fläche an die im Flächenentwicklungsplan festgelegte Offshore-Anbindungsleitung ab dem verbindlichen Fertigstellungstermin nach § 17d Absatz 2 Satz 8 des Energiewirtschaftsgesetzes und</w:t>
      </w:r>
    </w:p>
    <w:p>
      <w:pPr>
        <w:ind w:left="780"/>
      </w:pPr>
      <w:r>
        <w:t xml:space="preserve">b) eine zugewiesene Netzanbindungskapazität auf der im Flächenentwicklungsplan festgelegten Offshore-Anbindungsleitung ab dem verbindlichen Fertigstellungstermin nach § 17d Absatz 2 Satz 8 des Energiewirtschaftsgesetzes.</w:t>
      </w:r>
    </w:p>
    <w:p>
      <w:r>
        <w:t xml:space="preserve">(2) Durch den Zuschlag werden vorbehaltlich des § 69 Absatz 7 und des § 17d Absatz 5 Satz 1 des Energiewirtschaftsgesetzes keine Rechte begründet für die Zeit nach dem Ende des Anspruchs auf die Marktprämie nach § 25 Absatz 1 Satz 1 des Erneuerbare-Energien-Gesetzes. Die bezuschlagte Fläche kann nach Maßgabe des Flächenentwicklungsplans nach § 8 Absatz 3 erneut ausgeschrieben werden.</w:t>
      </w:r>
    </w:p>
    <w:p>
      <w:r>
        <w:rPr>
          <w:color w:val="555555"/>
          <w:sz w:val="17"/>
        </w:rPr>
        <w:t xml:space="preserve">Zitiervorschlag: § 24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