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WindSeeG — Zweite Gebotskomponente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Der bezuschlagte Bieter, der im dynamischen Gebotsverfahren nach § 21 den Zuschlag erhalten hat, leistet die zweite Gebotskomponente nach Maßgabe der folgenden Ziffern:</w:t>
      </w:r>
    </w:p>
    <w:p>
      <w:pPr>
        <w:ind w:left="420"/>
      </w:pPr>
      <w:r>
        <w:t xml:space="preserve">1. eine Zahlung in Höhe von 90 Prozent des Gesamtbetrags der zweiten Gebotskomponente als Stromkostensenkungskomponente an den anbindungsverpflichteten Übertragungsnetzbetreiber; für Mittelverwendung und Zahlungsweise gelten die Vorgaben des § 59 entsprechend,</w:t>
      </w:r>
    </w:p>
    <w:p>
      <w:pPr>
        <w:ind w:left="420"/>
      </w:pPr>
      <w:r>
        <w:t xml:space="preserve">2. eine Zahlung in Höhe von 5 Prozent des Gesamtbetrags der zweiten Gebotskomponente als Meeresnaturschutzkomponente an den Bundeshaushalt; für Mittelverwendung und Zahlungsweise gelten die Vorgaben des § 58 Absatz 1 entsprechend, und</w:t>
      </w:r>
    </w:p>
    <w:p>
      <w:pPr>
        <w:ind w:left="420"/>
      </w:pPr>
      <w:r>
        <w:t xml:space="preserve">3. eine Zahlung in Höhe von 5 Prozent des Gesamtbetrags der zweiten Gebotskomponente als Fischereikomponente an den Bundeshaushalt; für Mittelverwendung und Zahlungsweise gelten die Vorgaben des § 58 Absatz 2 entsprechend.</w:t>
      </w:r>
    </w:p>
    <w:p>
      <w:r>
        <w:t xml:space="preserve">Die Zweckbindung der Zahlungen nach § 57 gilt entsprechend. § 58 Absatz 3 gilt entsprechend.</w:t>
      </w:r>
    </w:p>
    <w:p>
      <w:r>
        <w:t xml:space="preserve">(1a) Der bezuschlagte Bieter, der im dynamischen Gebotsverfahren nach § 21 den Zuschlag erhalten hat, leistet die zweite Gebotskomponente für Ausschreibungen im Jahr 2023 nach Maßgabe der folgenden Ziffern:</w:t>
      </w:r>
    </w:p>
    <w:p>
      <w:pPr>
        <w:ind w:left="420"/>
      </w:pPr>
      <w:r>
        <w:t xml:space="preserve">1. eine Zahlung in Höhe von 90 Prozent des Gesamtbetrags der zweiten Gebotskomponente als Stromkostensenkungskomponente an den anbindungsverpflichteten Übertragungsnetzbetreiber; für Mittelverwendung und Zahlungsweise gelten die Vorgaben des § 59 entsprechend,</w:t>
      </w:r>
    </w:p>
    <w:p>
      <w:pPr>
        <w:ind w:left="420"/>
      </w:pPr>
      <w:r>
        <w:t xml:space="preserve">2. eine Zahlung in Höhe von 3,125 Prozent des Gesamtbetrags der zweiten Gebotskomponente als Meeresnaturschutzkomponente an den Bundeshaushalt; für Mittelverwendung und Zahlungsweise gelten die Vorgaben des § 58 Absatz 1 entsprechend,</w:t>
      </w:r>
    </w:p>
    <w:p>
      <w:pPr>
        <w:ind w:left="420"/>
      </w:pPr>
      <w:r>
        <w:t xml:space="preserve">3. eine Zahlung in Höhe von 1 Prozent des Gesamtbetrags der zweiten Gebotskomponente als Fischereikomponente an den Bundeshaushalt; für Mittelverwendung und Zahlungsweise gelten die Vorgaben des § 58 Absatz 2 entsprechend und</w:t>
      </w:r>
    </w:p>
    <w:p>
      <w:pPr>
        <w:ind w:left="420"/>
      </w:pPr>
      <w:r>
        <w:t xml:space="preserve">4. eine Zahlung in Höhe von 5,875 Prozent des Gesamtbetrags der zweiten Gebotskomponente als Transformationskomponente an den Bundeshaushalt; für Mittelverwendung und Zahlungsweise gelten die Vorgaben des § 58 Absatz 4 entsprechend.</w:t>
      </w:r>
    </w:p>
    <w:p>
      <w:r>
        <w:t xml:space="preserve">Die Zweckbindung der Zahlungen nach § 57 gilt entsprechend.</w:t>
      </w:r>
    </w:p>
    <w:p>
      <w:r>
        <w:t xml:space="preserve">(2) Der vom bezuschlagten Bieter zu zahlende Gesamtbetrag ergibt sich, indem die zweite Gebotskomponente des bezuschlagten Gebots mit dem Ausschreibungsvolumen der ausgeschriebenen Fläche nach § 16 Satz 2 Nummer 2 multipliziert wird.</w:t>
      </w:r>
    </w:p>
    <w:p>
      <w:r>
        <w:rPr>
          <w:color w:val="555555"/>
          <w:sz w:val="17"/>
        </w:rPr>
        <w:t xml:space="preserve">Zitiervorschlag: § 23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