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WindSeeG — Zuschlagsverfahren, anzulegender Wert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Bundesnetzagentur erteilt auf jeder ausgeschriebenen Fläche dem Gebot mit dem niedrigsten Gebotswert den Zuschlag. Der Zuschlag wird erteilt unter dem Vorbehalt des Widerrufs nach § 82 Absatz 3 und unter der auflösenden Bedingung der nicht fristgemäßen Hinterlegung der Sicherheit nach § 18 Absatz 2 Satz 2. Ein Gebot, das die Anforderungen nach § 17 nicht erfüllt, wird entsprechend § 33 des Erneuerbare-Energien-Gesetzes vom Zuschlagsverfahren ausgeschlossen.</w:t>
      </w:r>
    </w:p>
    <w:p>
      <w:r>
        <w:t xml:space="preserve">(2) Der anzulegende Wert ist der Gebotswert des bezuschlagten Gebots.</w:t>
      </w:r>
    </w:p>
    <w:p>
      <w:r>
        <w:t xml:space="preserve">(3) Haben für eine Fläche mehrere Bieter Gebote mit einem Gebotswert von 0 Cent pro Kilowattstunde abgegeben, erteilt die Bundesnetzagentur keinen Zuschlag und führt für diese Fläche das dynamische Gebotsverfahren nach § 21 durch.</w:t>
      </w:r>
    </w:p>
    <w:p>
      <w:r>
        <w:rPr>
          <w:color w:val="555555"/>
          <w:sz w:val="17"/>
        </w:rPr>
        <w:t xml:space="preserve">Zitiervorschlag: § 20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