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WindSeeG — Bekanntmachung der Ausschreibungen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macht die Ausschreibungen spätestens vier Kalendermonate vor dem jeweiligen Gebotstermin nach § 98 Nummer 2 bekannt. Die Bekanntmachungen müssen mindestens folgende Angaben enthalten:</w:t>
      </w:r>
    </w:p>
    <w:p>
      <w:pPr>
        <w:ind w:left="420"/>
      </w:pPr>
      <w:r>
        <w:t xml:space="preserve">1. den Gebotstermin,</w:t>
      </w:r>
    </w:p>
    <w:p>
      <w:pPr>
        <w:ind w:left="420"/>
      </w:pPr>
      <w:r>
        <w:t xml:space="preserve">2. das Ausschreibungsvolumen je ausgeschriebener Fläche nach § 2a,</w:t>
      </w:r>
    </w:p>
    <w:p>
      <w:pPr>
        <w:ind w:left="420"/>
      </w:pPr>
      <w:r>
        <w:t xml:space="preserve">3. die Bezeichnungen der ausgeschriebenen Flächen,</w:t>
      </w:r>
    </w:p>
    <w:p>
      <w:pPr>
        <w:ind w:left="420"/>
      </w:pPr>
      <w:r>
        <w:t xml:space="preserve">4. für jede Fläche die Bezeichnung der Offshore-Anbindungsleitung und das Kalenderjahr einschließlich des Quartals im jeweiligen Kalenderjahr nach § 5 Absatz 1 Satz 1 Nummer 4, in dem die Offshore-Anbindungsleitung in Betrieb genommen werden soll, sowie das Quartal im jeweiligen Kalenderjahr, in welchem der Kabeleinzug der Innerparkverkabelung der bezuschlagten Windenergieanlagen auf See an die Konverter- oder die Umspannplattform erfolgen soll,</w:t>
      </w:r>
    </w:p>
    <w:p>
      <w:pPr>
        <w:ind w:left="420"/>
      </w:pPr>
      <w:r>
        <w:t xml:space="preserve">5. den Höchstwert nach § 19,</w:t>
      </w:r>
    </w:p>
    <w:p>
      <w:pPr>
        <w:ind w:left="420"/>
      </w:pPr>
      <w:r>
        <w:t xml:space="preserve">6. die jeweils nach § 30a Absatz 1 des Erneuerbare-Energien-Gesetzes von der Bundesnetzagentur für die Gebotsabgabe vorgegebenen Formatvorgaben,</w:t>
      </w:r>
    </w:p>
    <w:p>
      <w:pPr>
        <w:ind w:left="420"/>
      </w:pPr>
      <w:r>
        <w:t xml:space="preserve">7. die Festlegungen der Bundesnetzagentur nach § 85 Absatz 2 des Erneuerbare-Energien-Gesetzes, soweit sie die jeweilige Gebotsabgabe und das jeweilige Zuschlagsverfahren betreffen,</w:t>
      </w:r>
    </w:p>
    <w:p>
      <w:pPr>
        <w:ind w:left="420"/>
      </w:pPr>
      <w:r>
        <w:t xml:space="preserve">8. einen Hinweis auf die nach § 67 Absatz 6 und § 69 Absatz 3 Satz 1 Nummer 7 erforderliche Verpflichtungserklärung und</w:t>
      </w:r>
    </w:p>
    <w:p>
      <w:pPr>
        <w:ind w:left="420"/>
      </w:pPr>
      <w:r>
        <w:t xml:space="preserve">9. die Regeln für die Durchführung eines dynamischen Gebotsverfahrens nach § 22 Absatz 1.</w:t>
      </w:r>
    </w:p>
    <w:p>
      <w:r>
        <w:rPr>
          <w:color w:val="555555"/>
          <w:sz w:val="17"/>
        </w:rPr>
        <w:t xml:space="preserve">Zitiervorschlag: § 16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