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WindSeeG — Ergänzende Kapazitätszuweisung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Sofern die Netzanbindungskapazität einer Offshore-Anbindungsleitung nicht vollständig durch zugewiesene Netzanbindungskapazität oder Netzanbindungszusagen nach § 118 Absatz 12 des Energiewirtschaftsgesetzes in der am 28. Dezember 2023 geltenden Fassung gebunden ist, kann die Bundesnetzagentur die auf der Offshore-Anbindungsleitung verbleibende Netzanbindungskapazität den an die Offshore-Anbindungsleitung angeschlossenen Windenergieanlagen auf See proportional zu ihrer zugewiesenen oder zugesagten Netzanbindungskapazität befristet zur zusätzlichen Nutzung zuweisen, sofern</w:t>
      </w:r>
    </w:p>
    <w:p>
      <w:pPr>
        <w:ind w:left="420"/>
      </w:pPr>
      <w:r>
        <w:t xml:space="preserve">1. die Kapazität nach einer Prognose der Bundesnetzagentur mindestens für die Dauer von sechs Monaten ungenutzt wäre und</w:t>
      </w:r>
    </w:p>
    <w:p>
      <w:pPr>
        <w:ind w:left="420"/>
      </w:pPr>
      <w:r>
        <w:t xml:space="preserve">2. maximal 15 Prozent der insgesamt auf der Offshore-Anbindungsleitung verfügbaren Netzanbindungskapazität betroffen sind.</w:t>
      </w:r>
    </w:p>
    <w:p>
      <w:r>
        <w:t xml:space="preserve">Die Zuweisung nach Satz 1 ist befristet bis spätestens zum Ablauf des Zeitpunkts, der in § 17d Absatz 5 Satz 1 des Energiewirtschaftsgesetzes für die jeweiligen Windenergieanlagen auf See festgelegt ist. Auf übereinstimmende Erklärung aller Betreiber der angeschlossenen Windenergieanlagen auf See kann die Bundesnetzagentur eine von der proportionalen Verteilung nach Satz 1 abweichende Verteilung der Kapazität auf die angeschlossenen Windenergieanlagen auf See vornehmen. Die Bundesnetzagentur kann ferner eine von der proportionalen Verteilung nach Satz 1 abweichende Verteilung vornehmen, wenn dies aus technischen Gründen erforderlich ist.</w:t>
      </w:r>
    </w:p>
    <w:p>
      <w:r>
        <w:t xml:space="preserve">(2) Die Bundesnetzagentur entscheidet über einen Antrag auf ergänzende Kapazitätszuweisung innerhalb von drei Monaten, sofern das Repowering nach § 89 nicht zu einer Erhöhung der Kapazität einer Anlage um mehr als 15 Prozent führt. Dies gilt nicht bei begründeten Sicherheitsbedenken oder einer technischen Inkompatibilität mit Netzkomponenten.</w:t>
      </w:r>
    </w:p>
    <w:p>
      <w:r>
        <w:rPr>
          <w:color w:val="555555"/>
          <w:sz w:val="17"/>
        </w:rPr>
        <w:t xml:space="preserve">Zitiervorschlag: § 14a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