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WindSeeG — Wettbewerbliche Bestimmung des Zuschlagsberechtigten</w:t>
      </w:r>
    </w:p>
    <w:p>
      <w:r>
        <w:rPr>
          <w:color w:val="555555"/>
          <w:sz w:val="18"/>
        </w:rPr>
        <w:t xml:space="preserve">Windenergie-auf-See-Gesetz</w:t>
      </w:r>
    </w:p>
    <w:p>
      <w:r>
        <w:rPr>
          <w:color w:val="555555"/>
          <w:sz w:val="18"/>
        </w:rPr>
        <w:t xml:space="preserve">Stand: 01.01.2023 (konsolidierte Textfassung, kein amtliches Inkrafttretensdatum)</w:t>
      </w:r>
    </w:p>
    <w:p>
      <w:r>
        <w:t xml:space="preserve">(1) Betreiber, die Windenergieanlagen auf See nach dem 31. Dezember 2020 in der ausschließlichen Wirtschaftszone und im Küstenmeer in Betrieb nehmen, haben für den Strom, der in diesen Anlagen erzeugt wird, einen Anspruch nach § 19 Absatz 1 des Erneuerbare-Energien-Gesetzes nur, solange und soweit für die jeweilige Windenergieanlage auf See ein von der Bundesnetzagentur nach den §§ 20, 21 oder 34 erteilter Zuschlag wirksam ist. Gleiches gilt für einen Zuschlag nach § 23 in der Fassung vom 10. Dezember 2020.</w:t>
      </w:r>
    </w:p>
    <w:p>
      <w:r>
        <w:t xml:space="preserve">(2) Für Windenergieanlagen auf See ermittelt und bezuschlagt die Bundesnetzagentur als zuständige Stelle ab dem Jahr 2023 auf</w:t>
      </w:r>
    </w:p>
    <w:p>
      <w:pPr>
        <w:ind w:left="420"/>
      </w:pPr>
      <w:r>
        <w:t xml:space="preserve">1. zentral voruntersuchten Flächen durch Ausschreibungen nach Abschnitt 5 den Zuschlagsberechtigten oder</w:t>
      </w:r>
    </w:p>
    <w:p>
      <w:pPr>
        <w:ind w:left="420"/>
      </w:pPr>
      <w:r>
        <w:t xml:space="preserve">2. nicht zentral voruntersuchten Flächen durch Ausschreibungen nach Abschnitt 2 den Zuschlagsberechtigten und den anzulegenden Wert nach § 22 Absatz 1 des Erneuerbare-Energien-Gesetzes.</w:t>
      </w:r>
    </w:p>
    <w:p>
      <w:r>
        <w:t xml:space="preserve">Die Zuordnung der Flächen für die Verteilung auf die Ausschreibungen nach Satz 1 Nummer 1 und 2 bestimmt sich nach Maßgabe des Flächenentwicklungsplans. Dabei sind die Vorgaben des § 2a zu berücksichtigen. Sofern in einer Ausschreibung nach Satz 1 Nummer 1 oder Nummer 2 kein Bieter ein wirksames Gebot abgegeben hat, wird die entsprechende Fläche nach den Vorgaben des jeweils anderen Abschnitts nach Satz 1 Nummer 1 und 2 im nächsten Gebotstermin erneut ausgeschrieben. Im Falle eines Wechsels des Zuschlagsverfahrens nach Satz 4 sind die Regelungen nach Teil 4 im Übrigen unverändert auf die jeweilige Fläche anzuwenden.</w:t>
      </w:r>
    </w:p>
    <w:p>
      <w:r>
        <w:t xml:space="preserve">(3) Die Bundesnetzagentur kann Ausschreibungen nach Absatz 2 Satz 1 Nummer 1 nach Maßgabe einer Verwaltungsvereinbarung im Auftrag durch das Bundesamt für Seeschifffahrt und Hydrographie wahrnehmen lassen. In diesen Fällen nimmt das Bundesamt für Seeschifffahrt und Hydrographie die Aufgaben der für die Ausschreibung nach Absatz 2 Satz 1 Nummer 1 zuständigen Stelle im Sinn dieses Gesetzes wahr. Die Bundesnetzagentur macht eine Aufgabenwahrnehmung durch das Bundesamt für Seeschifffahrt und Hydrographie nach § 98 Nummer 2 bekannt.</w:t>
      </w:r>
    </w:p>
    <w:p>
      <w:r>
        <w:t xml:space="preserve">(4) Sofern bis zum Zeitpunkt der Bekanntmachung der Ausschreibung die Voraussetzungen vorliegen, um bereits erteilte Zuschläge nach § 82 Absatz 3 zu widerrufen oder Netzanbindungskapazitäten nach § 17d Absatz 6 Satz 3 des Energiewirtschaftsgesetzes in der vor dem 1. Januar 2017 geltenden Fassung zu entziehen, oder die auflösende Bedingung nach § 20 Absatz 1 Satz 2 oder § 54 Absatz 1 Satz 2 eingetreten ist, sollen die Bundesnetzagentur und das Bundesamt für Seeschifffahrt und Hydrographie nach gegenseitiger Abstimmung das Ausschreibungsvolumen erhöhen, wenn und soweit die Erreichung der Ausbauziele nach § 1 Absatz 2 andernfalls gefährdet ist. Dies ist auch auf Fälle anzuwenden, in denen die zentrale Voruntersuchung der Flächen, die nach dem Flächenentwicklungsplan in dem Kalenderjahr zur Ausschreibung kommen sollen, nicht rechtzeitig abgeschlossen ist. Bei der Auswahl der Flächen, die nach diesem Absatz ausnahmsweise abweichend vom Flächenentwicklungsplan zur Ausschreibung kommen, sind zu beachten</w:t>
      </w:r>
    </w:p>
    <w:p>
      <w:pPr>
        <w:ind w:left="420"/>
      </w:pPr>
      <w:r>
        <w:t xml:space="preserve">1. die übrigen Festlegungen im Flächenentwicklungsplan sowie</w:t>
      </w:r>
    </w:p>
    <w:p>
      <w:pPr>
        <w:ind w:left="420"/>
      </w:pPr>
      <w:r>
        <w:t xml:space="preserve">2. die Kriterien zur Flächenfestlegung und zur zeitlichen Reihenfolge nach § 5 Absatz 4.</w:t>
      </w:r>
    </w:p>
    <w:p>
      <w:r>
        <w:t xml:space="preserve">Wird das Ausschreibungsvolumen nach diesem Absatz angepasst, so muss der Flächenentwicklungsplan nach § 8 geändert oder fortgeschrieben werden, wenn er andernfalls in den Folgejahren aufgrund der Anpassungen nicht mehr eingehalten werden könnte.</w:t>
      </w:r>
    </w:p>
    <w:p>
      <w:r>
        <w:t xml:space="preserve">(5) Pilotwindenergieanlagen auf See können abweichend von den Absätzen 1 und 2 einen Zahlungsanspruch nach § 19 Absatz 1 des Erneuerbare-Energien-Gesetzes nach Maßgabe von Teil 5 haben.</w:t>
      </w:r>
    </w:p>
    <w:p>
      <w:r>
        <w:rPr>
          <w:color w:val="555555"/>
          <w:sz w:val="17"/>
        </w:rPr>
        <w:t xml:space="preserve">Zitiervorschlag: § 14 WindSeeG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