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105 WindSeeG — Durchführung von Terminen</w:t>
      </w:r>
    </w:p>
    <w:p>
      <w:r>
        <w:rPr>
          <w:color w:val="555555"/>
          <w:sz w:val="18"/>
        </w:rPr>
        <w:t xml:space="preserve">Windenergie-auf-See-Gesetz</w:t>
      </w:r>
    </w:p>
    <w:p>
      <w:r>
        <w:rPr>
          <w:color w:val="555555"/>
          <w:sz w:val="18"/>
        </w:rPr>
        <w:t xml:space="preserve">Stand: 01.01.2023 (konsolidierte Textfassung, kein amtliches Inkrafttretensdatum)</w:t>
      </w:r>
    </w:p>
    <w:p>
      <w:r>
        <w:t xml:space="preserve">(1) Ist die Durchführung eines Erörterungstermins oder sonstigen Beteiligungstermins angeordnet, genügt die Durchführung einer Online-Konsultation. Für die Online-Konsultation werden den zur Teilnahme Berechtigten die sonst im Termin zu behandelnden Informationen zugänglich gemacht. Ihnen ist innerhalb einer vorher bekannt zu machenden angemessenen Frist Gelegenheit zu geben, sich schriftlich oder elektronisch dazu zu äußern.</w:t>
      </w:r>
    </w:p>
    <w:p>
      <w:r>
        <w:t xml:space="preserve">(2) Die Online-Konsultation nach Absatz 1 kann mit Einverständnis der zur Teilnahme Berechtigten durch eine Telefon- oder Videokonferenz ersetzt werden. Absatz 1 Satz 2 ist in diesem Fall entsprechend anzuwenden. Über die Telefon- oder Videokonferenz ist ein Protokoll zu führen.</w:t>
      </w:r>
    </w:p>
    <w:p>
      <w:r>
        <w:t xml:space="preserve">(3) Die zur Teilnahme an einem in Absatz 1 genannten Termin Berechtigten sind von der Art der Durchführung des Termins zu benachrichtigen. § 73 Absatz 6 Satz 2 bis 4 des Verwaltungsverfahrensgesetzes ist entsprechend anzuwenden.</w:t>
      </w:r>
    </w:p>
    <w:p>
      <w:r>
        <w:rPr>
          <w:color w:val="555555"/>
          <w:sz w:val="17"/>
        </w:rPr>
        <w:t xml:space="preserve">Zitiervorschlag: § 105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https://recht.nulegal.eu/gesetze/WindSeeG/105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