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103 WindSeeG — Wahrnehmung von Aufgaben durch die Bundesnetzagentur</w:t>
      </w:r>
    </w:p>
    <w:p>
      <w:r>
        <w:rPr>
          <w:color w:val="555555"/>
          <w:sz w:val="18"/>
        </w:rPr>
        <w:t xml:space="preserve">Windenergie-auf-See-Gesetz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Für die Wahrnehmung der Aufgaben der Bundesnetzagentur nach diesem Gesetz und den aufgrund dieses Gesetzes ergangenen Rechtsverordnungen sind die Bestimmungen des Teils 8 des Energiewirtschaftsgesetzes mit Ausnahme des § 69 Absatz 1 Satz 2 und Absatz 10, des § 71a, des § 91 und der §§ 95 bis 101 sowie des Abschnitts 6 entsprechend anzuwenden.</w:t>
      </w:r>
    </w:p>
    <w:p>
      <w:r>
        <w:t xml:space="preserve">(2) Die Entscheidungen der Bundesnetzagentur nach diesem Gesetz werden von den Beschlusskammern getroffen.</w:t>
      </w:r>
    </w:p>
    <w:p>
      <w:r>
        <w:rPr>
          <w:color w:val="555555"/>
          <w:sz w:val="17"/>
        </w:rPr>
        <w:t xml:space="preserve">Zitiervorschlag: § 103 WindSeeG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https://recht.nulegal.eu/gesetze/WindSeeG/103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