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WindSeeG — Bußgeldvorschriften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ohne Planfeststellungsbeschluss oder ohne Plangenehmigung nach § 66 Absatz 1 eine Einrichtung errichtet, betreibt oder ändert oder</w:t>
      </w:r>
    </w:p>
    <w:p>
      <w:pPr>
        <w:ind w:left="420"/>
      </w:pPr>
      <w:r>
        <w:t xml:space="preserve">2. einer vollziehbaren Anordnung nach § 79 Absatz 3 Satz 1 oder Absatz 4 Satz 2 zuwiderhandelt.</w:t>
      </w:r>
    </w:p>
    <w:p>
      <w:r>
        <w:t xml:space="preserve">(2) Die Ordnungswidrigkeit kann mit einer Geldbuße bis zu fünfzigtausend Euro geahndet werden. § 30 Absatz 2 Satz 3 des Gesetzes über Ordnungswidrigkeiten ist anzuwenden.</w:t>
      </w:r>
    </w:p>
    <w:p>
      <w:r>
        <w:t xml:space="preserve">(3) Verwaltungsbehörde im Sinn des § 36 Absatz 1 Nummer 1 des Gesetzes über Ordnungswidrigkeiten ist das Bundesamt für Seeschifffahrt und Hydrographie.</w:t>
      </w:r>
    </w:p>
    <w:p>
      <w:r>
        <w:rPr>
          <w:color w:val="555555"/>
          <w:sz w:val="17"/>
        </w:rPr>
        <w:t xml:space="preserve">Zitiervorschlag: § 100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