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WindBG — Genehmigungserleichterung in Beschleunigungsgebieten für die Windenergie an Land</w:t>
      </w:r>
    </w:p>
    <w:p>
      <w:r>
        <w:rPr>
          <w:color w:val="555555"/>
          <w:sz w:val="18"/>
        </w:rPr>
        <w:t xml:space="preserve">Windenergieflächenbedarfsgesetz</w:t>
      </w:r>
    </w:p>
    <w:p>
      <w:r>
        <w:rPr>
          <w:color w:val="555555"/>
          <w:sz w:val="18"/>
        </w:rPr>
        <w:t xml:space="preserve">Stand: 15.08.2025 (konsolidierte Textfassung, kein amtliches Inkrafttretensdatum)</w:t>
      </w:r>
    </w:p>
    <w:p>
      <w:r>
        <w:t xml:space="preserve">(1) Im jeweiligen Zulassungsverfahren sind die Erleichterungen der Absätze 2 bis 7 anzuwenden, wenn in einem Beschleunigungsgebiet für die Windenergie an Land die Errichtung und der Betrieb oder die Änderung der Lage, der Beschaffenheit oder des Betriebs einer nachstehenden Anlage beantragt wird:</w:t>
      </w:r>
    </w:p>
    <w:p>
      <w:pPr>
        <w:ind w:left="420"/>
      </w:pPr>
      <w:r>
        <w:t xml:space="preserve">1. einer Windenergieanlage an Land,</w:t>
      </w:r>
    </w:p>
    <w:p>
      <w:pPr>
        <w:ind w:left="420"/>
      </w:pPr>
      <w:r>
        <w:t xml:space="preserve">2. einer Nebenanlage nach § 3 Nummer 15a des Erneuerbare-Energien-Gesetzes, die zu einer Anlage nach Nummer 1 gehört, oder</w:t>
      </w:r>
    </w:p>
    <w:p>
      <w:pPr>
        <w:ind w:left="420"/>
      </w:pPr>
      <w:r>
        <w:t xml:space="preserve">3. einer Energiespeicheranlage am selben Standort wie die Anlage nach Nummer 1, sofern die Energiespeicheranlage bei der planerischen Ausweisung des Windenergiegebietes vorgesehen wurde.</w:t>
      </w:r>
    </w:p>
    <w:p>
      <w:r>
        <w:t xml:space="preserve">(2) Im Zulassungsverfahren einer Anlage nach Absatz 1 ist</w:t>
      </w:r>
    </w:p>
    <w:p>
      <w:pPr>
        <w:ind w:left="420"/>
      </w:pPr>
      <w:r>
        <w:t xml:space="preserve">1. abweichend von den Vorschriften des Gesetzes über die Umweltverträglichkeitsprüfung keine Umweltverträglichkeitsprüfung durchzuführen,</w:t>
      </w:r>
    </w:p>
    <w:p>
      <w:pPr>
        <w:ind w:left="420"/>
      </w:pPr>
      <w:r>
        <w:t xml:space="preserve">2. abweichend von § 34 Absatz 1 des Bundesnaturschutzgesetzes keine Prüfung in Bezug auf Natura 2000-Gebiete durchzuführen,</w:t>
      </w:r>
    </w:p>
    <w:p>
      <w:pPr>
        <w:ind w:left="420"/>
      </w:pPr>
      <w:r>
        <w:t xml:space="preserve">3. abweichend von § 44 Absatz 1 und 5 des Bundesnaturschutzgesetzes keine artenschutzrechtliche Prüfung durchzuführen und</w:t>
      </w:r>
    </w:p>
    <w:p>
      <w:pPr>
        <w:ind w:left="420"/>
      </w:pPr>
      <w:r>
        <w:t xml:space="preserve">4. abweichend von § 27 des Wasserhaushaltsgesetzes keine Prüfung der dort genannten Bewirtschaftungsziele durchzuführen.</w:t>
      </w:r>
    </w:p>
    <w:p>
      <w:r>
        <w:t xml:space="preserve">Die Zulassungsbehörde führt im Rahmen des Zulassungsverfahrens anstelle der nach Satz 1 nicht durchzuführenden Prüfungen eine Überprüfung der Umweltauswirkungen (Überprüfung) nach den Absätzen 3 bis 7 durch. Inhalte der Prüfungen, die nach Satz 1 Nummer 2 und 3 nicht zu prüfen sind, sind bei der Anwendung der §§ 13 bis 17 des Bundesnaturschutzgesetzes nur zu berücksichtigen, soweit dies zur Ermittlung und Bewertung eines Eingriffs in Natur und Landschaft zwingend erforderlich ist. Satz 1 Nummer 1 ist nicht auf Vorhaben anzuwenden, wenn das Vorhaben voraussichtlich erhebliche Auswirkungen auf die Umwelt eines anderen Staates hat oder ein anderer Staat, der von dem Vorhaben voraussichtlich erheblich betroffen ist, eine Beteiligung wünscht.</w:t>
      </w:r>
    </w:p>
    <w:p>
      <w:r>
        <w:t xml:space="preserve">(3) Die Überprüfung wird auf Grundlage vorhandener Daten durchgeführt. Es dürfen dabei nur Daten berücksichtigt werden, die eine ausreichende räumliche Genauigkeit zur Anordnung von Maßnahmen aufweisen und zum Zeitpunkt der Entscheidung über den Zulassungsantrag in der Regel nicht älter als fünf Jahre sind. Ältere Daten dürfen berücksichtigt werden, wenn sie Bestandteil systematisch und fortlaufend aktualisierter behördlicher Fachdatenbanken sind oder im Einzelfall hinreichend validiert wurden. Der Antragsteller hat der Zulassungsbehörde aufgrund der im Plan bestimmten Regeln für Minderungsmaßnahmen und etwaiger weiterer eigener Vorschläge Maßnahmen vorzulegen und darzulegen, wie mit diesen Maßnahmen den Umweltauswirkungen begegnet werden soll. Diese Unterlagen sind zusätzlich zu den nach sonstigen Vorschriften des Fachrechts erforderlichen Unterlagen vorzulegen. Die Zulassungsbehörde überprüft unter Berücksichtigung der Daten nach Satz 1 sowie der Unterlagen nach Satz 4, ob eindeutige Nachweise vorliegen, dass das Vorhaben bei Durchführung der Maßnahmen nach Satz 4 höchstwahrscheinlich erhebliche unvorhergesehene nachteilige Umweltauswirkungen angesichts der ökologischen Empfindlichkeit des Gebiets nach Anlage 3 Nummer 2 des Gesetzes über die Umweltverträglichkeitsprüfung haben wird, die bei der Umweltprüfung nach § 8 des Raumordnungsgesetzes oder nach § 2 Absatz 4 des Baugesetzbuchs oder bei der etwaigen Verträglichkeitsprüfung nach § 7 Absatz 6 des Raumordnungsgesetzes oder nach § 1a Absatz 4 des Baugesetzbuchs nicht ermittelt wurden und dadurch die Einhaltung der Vorschriften der §§ 34 und 44 Absatz 1 des Bundesnaturschutzgesetzes oder des § 27 des Wasserhaushaltsgesetzes nicht gewährleistet ist.</w:t>
      </w:r>
    </w:p>
    <w:p>
      <w:r>
        <w:t xml:space="preserve">(4) Die Überprüfung ist innerhalb von 45 Tagen ab Eingang der vollständigen Unterlagen abzuschließen, bei Anträgen zur Modernisierung einer Windenergieanlage oder bei Windenergieanlagen mit einer Stromerzeugungskapazität unter 150 Kilowatt innerhalb von 30 Tagen. Die Unterlagen für die Überprüfung sind vollständig, wenn sie sich zu allen relevanten Aspekten der Überprüfung verhalten und die Zulassungsbehörde in die Lage versetzen, die Überprüfung durchzuführen. Fachliche Einwände und Nachfragen stehen der Vollständigkeit nicht entgegen, sofern die Unterlagen eine fachliche Überprüfung ermöglichen. Gibt eine zu beteiligende Behörde innerhalb einer von der Zulassungsbehörde gesetzten, angemessenen Frist gegenüber der Zulassungsbehörde keine begründete Stellungnahme ab, ob eindeutige Nachweise nach Absatz 3 Satz 6 vorliegen, so ist davon auszugehen, dass sich die zu beteiligende Behörde diesbezüglich nicht äußern will.</w:t>
      </w:r>
    </w:p>
    <w:p>
      <w:r>
        <w:t xml:space="preserve">(5) Stellt die Zulassungsbehörde bei der Überprüfung nicht fest, dass eindeutige Nachweise nach Absatz 3 Satz 6 vorliegen, so ordnet sie gegenüber dem Antragsteller unter Berücksichtigung der von ihm nach Absatz 3 Satz 4 vorgelegten Unterlagen geeignete und verhältnismäßige Maßnahmen im Zulassungsbescheid an, sofern diese Maßnahmen erforderlich sind. Zum Schutz von Fledermäusen vor Tötung und Verletzung beim Betrieb der Windenergieanlage an Land hat die Zulassungsbehörde stets geeignete Minderungsmaßnahmen in Form einer Abregelung der Windenergieanlage anzuordnen. Die Zulassungsbehörde kann die angeordnete Abregelung auf Verlangen des Antragstellers auf Grundlage einer zweijährigen akustischen Erfassung der Fledermausaktivität im Rotorbereich der Windenergieanlage anpassen.</w:t>
      </w:r>
    </w:p>
    <w:p>
      <w:r>
        <w:t xml:space="preserve">(6) Stellt die Zulassungsbehörde bei der Überprüfung fest, dass eindeutige Nachweise nach Absatz 3 Satz 6 vorliegen, so beteiligt sie im Zulassungsverfahren die Öffentlichkeit entsprechend § 10 Absatz 3 bis 4 und 8 des Bundes-Immissionsschutzgesetzes mit der Maßgabe, dass ein Erörterungstermin nicht stattfindet. Das Ergebnis der Überprüfung nach Satz 1 ist zu begründen und gemeinsam mit den nach dem jeweiligen Fachrecht erforderlichen Unterlagen im Rahmen der Öffentlichkeitsbeteiligung zur Einsicht auszulegen. Im Zulassungsbescheid ordnet die Zulassungsbehörde neben den in Absatz 5 genannten Maßnahmen weitere geeignete und verhältnismäßige Minderungsmaßnahmen im Hinblick auf diese Auswirkungen an. Soweit solche Maßnahmen nicht verfügbar sind, ordnet die Zulassungsbehörde gegenüber dem Antragsteller geeignete und verhältnismäßige Ausgleichsmaßnahmen an. Rechtsbehelfe gegen das Ergebnis der Überprüfung können als behördliche Verfahrenshandlung nach § 44a der Verwaltungsgerichtsordnung nur gleichzeitig mit den gegen die Zulassungsentscheidung zulässigen Rechtsbehelfen geltend gemacht werden.</w:t>
      </w:r>
    </w:p>
    <w:p>
      <w:r>
        <w:t xml:space="preserve">(7) Soweit geeignete und verhältnismäßige Minderungsmaßnahmen und geeignete und verhältnismäßige Ausgleichsmaßnahmen zum Schutz von Arten nach Absatz 6 Satz 3 und 4 erforderlich, aber nicht verfügbar sind oder keine Daten nach Absatz 3 Satz 1 vorhanden sind, auf deren Grundlage Maßnahmen angeordnet werden können, hat der Betreiber der Anlage eine Zahlung in Geld zu leisten. Die Zahlung ist von der Zulassungsbehörde zusammen mit der Zulassung für die Dauer des Betriebes der jeweiligen Anlage als jährlich zu leistender Betrag festzusetzen. Zur Festlegung des jährlich zu leistenden Betrages sind die Beträge nach Satz 4 Nummer 1 und 2 und nach Satz 5 Nummer 1 und 2 durch die Zahl zu teilen, die der jeweils anzunehmenden Betriebsdauer der Anlage in Jahren entspricht. Bei Windenergieanlangen an Land ist von einer Betriebsdauer von 20 Jahren auszugehen, bei Energiespeicheranlagen von einer Betriebsdauer von zehn Jahren. Soweit Maßnahmen erforderlich, aber nicht verfügbar sind, beträgt die Höhe der Zahlung:</w:t>
      </w:r>
    </w:p>
    <w:p>
      <w:pPr>
        <w:ind w:left="420"/>
      </w:pPr>
      <w:r>
        <w:t xml:space="preserve">1. für Windenergieanlagen an Land:</w:t>
      </w:r>
    </w:p>
    <w:p>
      <w:pPr>
        <w:ind w:left="780"/>
      </w:pPr>
      <w:r>
        <w:t xml:space="preserve">a) 7 800 Euro je Megawatt installierter Leistung, sofern Schutzmaßnahmen für Vögel angeordnet werden, die die Abregelung von Windenergieanlagen betreffen, oder Schutzmaßnahmen, deren Investitionskosten höher als 17 000 Euro je Megawatt liegen,</w:t>
      </w:r>
    </w:p>
    <w:p>
      <w:pPr>
        <w:ind w:left="780"/>
      </w:pPr>
      <w:r>
        <w:t xml:space="preserve">b) 52 000 Euro je Megawatt installierter Leistung, wenn keine der Schutzmaßnahmen nach Buchstabe a angeordnet wird,</w:t>
      </w:r>
    </w:p>
    <w:p>
      <w:pPr>
        <w:ind w:left="420"/>
      </w:pPr>
      <w:r>
        <w:t xml:space="preserve">2. für Energiespeicheranlagen 160 Euro je Quadratmeter der durch den Energiespeicher versiegelten Fläche.</w:t>
      </w:r>
    </w:p>
    <w:p>
      <w:r>
        <w:t xml:space="preserve">Sofern keine Daten nach Absatz 3 Satz 1 vorhanden sind, auf deren Grundlage Maßnahmen angeordnet werden können, beträgt die Höhe der Zahlung:</w:t>
      </w:r>
    </w:p>
    <w:p>
      <w:pPr>
        <w:ind w:left="420"/>
      </w:pPr>
      <w:r>
        <w:t xml:space="preserve">3. für Windenergieanlagen an Land 20 000 Euro je Megawatt installierter Leistung,</w:t>
      </w:r>
    </w:p>
    <w:p>
      <w:pPr>
        <w:ind w:left="420"/>
      </w:pPr>
      <w:r>
        <w:t xml:space="preserve">4. für Energiespeicheranlagen 60 Euro je Quadratmeter der durch den Energiespeicher versiegelten Fläche.</w:t>
      </w:r>
    </w:p>
    <w:p>
      <w:r>
        <w:t xml:space="preserve">Die Zahlung ist von dem Betreiber der jeweiligen Anlage ab Inbetriebnahme der Anlage als zweckgebundene Abgabe an den Bund zu leisten. Die Mittel werden vom Bundesministerium für Umwelt, Klimaschutz, Naturschutz und nukleare Sicherheit bewirtschaftet. Sie sind für Maßnahmen nach § 45d Absatz 1 des Bundesnaturschutzgesetzes zu verwenden, für die nicht bereits nach anderen Vorschriften eine rechtliche Verpflichtung besteht und die der Sicherung oder Verbesserung des Erhaltungszustandes der durch den Betrieb von Windenergieanlagen an Land und Energiespeicheranlagen betroffenen Arten dienen.</w:t>
      </w:r>
    </w:p>
    <w:p>
      <w:r>
        <w:t xml:space="preserve">(8) Mit der Anordnung von Maßnahmen nach Absatz 5 Satz 1 und 2, von Maßnahmen nach Absatz 6 Satz 3 oder 4 oder mit Festsetzung der Zahlung nach Absatz 7 Satz 2 ist keine über die Überprüfung hinausgehende Prüfung der Einhaltung der Vorschriften der §§ 34 und 44 Absatz 1 des Bundesnaturschutzgesetzes und des § 27 des Wasserhaushaltsgesetzes durchzuführen. Eine Ausnahme nach § 34 Absatz 3 bis 5 des Bundesnaturschutzgesetzes oder nach § 45 Absatz 7 des Bundesnaturschutzgesetzes ist bei der Zulassung des Vorhabens nicht erforderlich. Die Anforderungen nach sonstigen Vorschriften des Fachrechts bleiben unberührt.</w:t>
      </w:r>
    </w:p>
    <w:p>
      <w:r>
        <w:t xml:space="preserve">(9) Können im Zulassungsverfahren sowohl die Erleichterungen nach § 6 als auch die Erleichterungen nach diesem Paragrafen angewandt werden, ist das Verfahren nach § 6 zu führen, es sei denn, der Antragsteller verlangt gegenüber der Zulassungsbehörde, dass das Verfahren nach dieser Vorschrift geführt wird.</w:t>
      </w:r>
    </w:p>
    <w:p>
      <w:r>
        <w:t xml:space="preserve">(10) Von den in den Absätzen 1 bis 9 getroffenen Regelungen des Verwaltungsverfahrens kann durch Landesrecht nicht abgewichen werden.</w:t>
      </w:r>
    </w:p>
    <w:p>
      <w:r>
        <w:rPr>
          <w:color w:val="555555"/>
          <w:sz w:val="17"/>
        </w:rPr>
        <w:t xml:space="preserve">Zitiervorschlag: § 6b WindBG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https://recht.nulegal.eu/gesetze/WindBG/6b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