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6a WindBG — Erklärung bestehender Windenergiegebiete zu Beschleunigungsgebieten für die Windenergie an Land</w:t>
      </w:r>
    </w:p>
    <w:p>
      <w:r>
        <w:rPr>
          <w:color w:val="555555"/>
          <w:sz w:val="18"/>
        </w:rPr>
        <w:t xml:space="preserve">Windenergieflächenbedarfsgesetz</w:t>
      </w:r>
    </w:p>
    <w:p>
      <w:r>
        <w:rPr>
          <w:color w:val="555555"/>
          <w:sz w:val="18"/>
        </w:rPr>
        <w:t xml:space="preserve">Stand: 20.05.2024 (konsolidierte Textfassung, kein amtliches Inkrafttretensdatum)</w:t>
      </w:r>
    </w:p>
    <w:p>
      <w:r>
        <w:t xml:space="preserve">(1) Windenergiegebiete im Sinne des § 2 Nummer 1, die bis zum Ablauf des 19. Mai 2024 ausgewiesen worden sind, sind Beschleunigungsgebiete im Sinne des Artikels 15c der Richtlinie (EU) 2018/2001 des Europäischen Parlaments und des Rates vom 11. Dezember 2018 zur Förderung der Nutzung von Energie aus erneuerbaren Quellen (ABl. L 238 vom 21.12.2018, S. 82), die zuletzt durch die Richtlinie (EU) 2023/2413 des Europäischen Parlaments und des Rates vom 18. Oktober 2023 zur Änderung der Richtlinie (EU) 2018/2001, der Verordnung (EU) 2018/1999 und der Richtlinie 98/70/EG im Hinblick auf die Förderung von Energie aus erneuerbaren Quellen und zur Aufhebung der Richtlinie (EU) 2015/652 des Rates (ABl. L, 2023/2413, 31.10.2023) geändert worden ist,</w:t>
      </w:r>
    </w:p>
    <w:p>
      <w:pPr>
        <w:ind w:left="420"/>
      </w:pPr>
      <w:r>
        <w:t xml:space="preserve">1. wenn bei Ausweisung des Windenergiegebietes eine Umweltprüfung im Sinne des § 8 des Raumordnungsgesetzes oder des § 2 Absatz 4 des Baugesetzbuchs und, soweit erforderlich, eine Verträglichkeitsprüfung im Sinne des § 7 Absatz 6 des Raumordnungsgesetzes oder § 1a Absatz 4 des Baugesetzbuchs durchgeführt wurde und</w:t>
      </w:r>
    </w:p>
    <w:p>
      <w:pPr>
        <w:ind w:left="420"/>
      </w:pPr>
      <w:r>
        <w:t xml:space="preserve">2. soweit das Windenergiegebiet nicht in einem Natura 2000-Gebiet, einem Naturschutzgebiet, einem Nationalpark oder in der Kern- oder Pflegezone eines Biosphärenreservates liegt.</w:t>
      </w:r>
    </w:p>
    <w:p>
      <w:r>
        <w:t xml:space="preserve">(2) § 6 bleibt unberührt.</w:t>
      </w:r>
    </w:p>
    <w:p>
      <w:r>
        <w:rPr>
          <w:color w:val="555555"/>
          <w:sz w:val="17"/>
        </w:rPr>
        <w:t xml:space="preserve">Zitiervorschlag: § 6a WindBG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https://recht.nulegal.eu/gesetze/WindBG/6a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