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WindBG — Ziel des Gesetzes</w:t>
      </w:r>
    </w:p>
    <w:p>
      <w:r>
        <w:rPr>
          <w:color w:val="555555"/>
          <w:sz w:val="18"/>
        </w:rPr>
        <w:t xml:space="preserve">Windenergieflächenbedarfsgesetz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(1) Ziel des Gesetzes ist es, die Zwecke und die Ziele von § 1 des Energiewirtschaftsgesetzes und § 1 des Erneuerbare-Energien-Gesetzes durch den beschleunigten Ausbau der Windenergie an Land, auch in Kombination mit Energiespeicheranlagen am selben Standort, zu fördern.</w:t>
      </w:r>
    </w:p>
    <w:p>
      <w:r>
        <w:t xml:space="preserve">(2) Hierfür gibt dieses Gesetz den Ländern verbindliche Flächenziele (Flächenbeitragswerte) vor, die für den Ausbau der Windenergie an Land benötigt werden, um die Ausbauziele und Ausbaupfade des Erneuerbare-Energien-Gesetzes zu erreichen. Werden die Flächenbeitragswerte nach Maßgabe von § 3 Absatz 1 und 2 erreicht, so ist dem überragenden öffentlichen Interesse am Ausbau der Windenergie nach § 2 des Erneuerbare-Energien-Gesetzes für Vorhaben, die außerhalb von Windenergiegebieten im Sinne des § 2 Nummer 1 liegen, bei der Anwendung des § 35 Absatz 2 des Baugesetzbuchs Rechnung getragen. Satz 2 gilt nicht für Vorhaben im Sinne des § 249 Absatz 3 des Baugesetzbuchs.</w:t>
      </w:r>
    </w:p>
    <w:p>
      <w:r>
        <w:rPr>
          <w:color w:val="555555"/>
          <w:sz w:val="17"/>
        </w:rPr>
        <w:t xml:space="preserve">Zitiervorschlag: § 1 WindBG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